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CEB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                   </w:t>
      </w:r>
      <w:r w:rsidRPr="00D27DE1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574718C0" wp14:editId="5D8D5929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C4FC9" w:rsidRPr="00D27DE1" w14:paraId="35A3FCE4" w14:textId="77777777" w:rsidTr="00604FC8">
        <w:trPr>
          <w:cantSplit/>
          <w:trHeight w:val="767"/>
        </w:trPr>
        <w:tc>
          <w:tcPr>
            <w:tcW w:w="3969" w:type="dxa"/>
            <w:hideMark/>
          </w:tcPr>
          <w:p w14:paraId="2F752982" w14:textId="77777777" w:rsidR="006C4FC9" w:rsidRPr="00D27DE1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3CC630B3" w14:textId="77777777" w:rsidR="006C4FC9" w:rsidRPr="00D27DE1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1A472004" w14:textId="77777777" w:rsidR="006C4FC9" w:rsidRPr="00D27DE1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6C4FC9" w:rsidRPr="00D27DE1" w14:paraId="22238797" w14:textId="77777777" w:rsidTr="00604FC8">
        <w:trPr>
          <w:cantSplit/>
          <w:trHeight w:val="511"/>
        </w:trPr>
        <w:tc>
          <w:tcPr>
            <w:tcW w:w="3969" w:type="dxa"/>
          </w:tcPr>
          <w:p w14:paraId="6F297C95" w14:textId="61B4681B" w:rsidR="006C4FC9" w:rsidRPr="00D27DE1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 xml:space="preserve">Povjerenstvo za provedbu </w:t>
            </w: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natječaja</w:t>
            </w:r>
          </w:p>
          <w:p w14:paraId="259D6474" w14:textId="77777777" w:rsidR="006C4FC9" w:rsidRPr="00D27DE1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  <w:tr w:rsidR="006C4FC9" w:rsidRPr="00D27DE1" w14:paraId="79839431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8157057" w14:textId="02596D0D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="0030045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112-02/21-01/4</w:t>
            </w:r>
          </w:p>
        </w:tc>
      </w:tr>
      <w:tr w:rsidR="006C4FC9" w:rsidRPr="00D27DE1" w14:paraId="6CCC9E49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7D90CCB" w14:textId="6FFD068F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2142-02-03/</w:t>
            </w:r>
            <w:r w:rsidR="00FC4707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5-2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="0030045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21-3</w:t>
            </w:r>
          </w:p>
        </w:tc>
      </w:tr>
      <w:tr w:rsidR="006C4FC9" w:rsidRPr="00D27DE1" w14:paraId="79F38A59" w14:textId="77777777" w:rsidTr="00604FC8">
        <w:trPr>
          <w:cantSplit/>
          <w:trHeight w:val="256"/>
        </w:trPr>
        <w:tc>
          <w:tcPr>
            <w:tcW w:w="3969" w:type="dxa"/>
          </w:tcPr>
          <w:p w14:paraId="00E14EDC" w14:textId="4937EC7B" w:rsidR="006C4FC9" w:rsidRPr="00D27DE1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D126CA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12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30045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studenoga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20</w:t>
            </w:r>
            <w:r w:rsidR="00300459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21</w:t>
            </w:r>
            <w:r w:rsidRPr="00D27DE1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  <w:p w14:paraId="5E9AF69B" w14:textId="77777777" w:rsidR="006C4FC9" w:rsidRPr="00D27DE1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F0F6F2C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E28A1C1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7D260D9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CDA48B6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D244CD4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4A42B46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91CD021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1696890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23DD4FC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C4A5B9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BA9531A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9E5E7C9" w14:textId="4AA225D9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Na temelju članka 19. Zakona o službenicima i namještenicima u lokalnoj i područnoj (regionalnoj) samoupravi („Narodne novine“ broj 86/08, 61/11, 4/18, 96/18 i 112/19) Povjerenstvo za provedbu </w:t>
      </w:r>
      <w:r>
        <w:rPr>
          <w:rFonts w:ascii="Garamond" w:hAnsi="Garamond" w:cs="Times New Roman"/>
          <w:sz w:val="24"/>
          <w:szCs w:val="24"/>
          <w:lang w:val="hr-HR"/>
        </w:rPr>
        <w:t>natječaja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objavljuje</w:t>
      </w:r>
    </w:p>
    <w:p w14:paraId="43F9CD9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518700" w14:textId="77777777" w:rsidR="006C4FC9" w:rsidRPr="00D27DE1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>OBAVIJEST</w:t>
      </w:r>
    </w:p>
    <w:p w14:paraId="0FB50716" w14:textId="7963FCDF" w:rsidR="006C4FC9" w:rsidRPr="00D27DE1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27DE1">
        <w:rPr>
          <w:rFonts w:ascii="Garamond" w:hAnsi="Garamond" w:cs="Times New Roman"/>
          <w:b/>
          <w:sz w:val="24"/>
          <w:szCs w:val="24"/>
          <w:lang w:val="hr-HR"/>
        </w:rPr>
        <w:t xml:space="preserve">u vezi provedbe </w:t>
      </w:r>
      <w:r>
        <w:rPr>
          <w:rFonts w:ascii="Garamond" w:hAnsi="Garamond" w:cs="Times New Roman"/>
          <w:b/>
          <w:sz w:val="24"/>
          <w:szCs w:val="24"/>
          <w:lang w:val="hr-HR"/>
        </w:rPr>
        <w:t>natječaja</w:t>
      </w:r>
      <w:r w:rsidRPr="00D27DE1">
        <w:rPr>
          <w:rFonts w:ascii="Garamond" w:hAnsi="Garamond" w:cs="Times New Roman"/>
          <w:b/>
          <w:sz w:val="24"/>
          <w:szCs w:val="24"/>
          <w:lang w:val="hr-HR"/>
        </w:rPr>
        <w:t xml:space="preserve"> za prijam u službu u Jedinstveni upravni odjel Općine Punat</w:t>
      </w:r>
    </w:p>
    <w:p w14:paraId="2EDD82AD" w14:textId="77777777" w:rsidR="006C4FC9" w:rsidRPr="00D27DE1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2EAFCB8" w14:textId="437F6CFB" w:rsidR="006C4FC9" w:rsidRPr="00D27DE1" w:rsidRDefault="006C4FC9" w:rsidP="006C4FC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  <w:t xml:space="preserve">U </w:t>
      </w:r>
      <w:r w:rsidR="00300459">
        <w:rPr>
          <w:rFonts w:ascii="Garamond" w:hAnsi="Garamond" w:cs="Times New Roman"/>
          <w:sz w:val="24"/>
          <w:szCs w:val="24"/>
          <w:lang w:val="hr-HR"/>
        </w:rPr>
        <w:t>„Narodnim novinama“ broj 121/21</w:t>
      </w:r>
      <w:r w:rsidR="00261C41">
        <w:rPr>
          <w:rFonts w:ascii="Garamond" w:hAnsi="Garamond" w:cs="Times New Roman"/>
          <w:sz w:val="24"/>
          <w:szCs w:val="24"/>
          <w:lang w:val="hr-HR"/>
        </w:rPr>
        <w:t xml:space="preserve"> od dana </w:t>
      </w:r>
      <w:r w:rsidR="00300459">
        <w:rPr>
          <w:rFonts w:ascii="Garamond" w:hAnsi="Garamond" w:cs="Times New Roman"/>
          <w:sz w:val="24"/>
          <w:szCs w:val="24"/>
          <w:lang w:val="hr-HR"/>
        </w:rPr>
        <w:t>12</w:t>
      </w:r>
      <w:r w:rsidR="00F53315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300459">
        <w:rPr>
          <w:rFonts w:ascii="Garamond" w:hAnsi="Garamond" w:cs="Times New Roman"/>
          <w:sz w:val="24"/>
          <w:szCs w:val="24"/>
          <w:lang w:val="hr-HR"/>
        </w:rPr>
        <w:t>studenoga</w:t>
      </w:r>
      <w:r w:rsidR="00F53315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300459">
        <w:rPr>
          <w:rFonts w:ascii="Garamond" w:hAnsi="Garamond" w:cs="Times New Roman"/>
          <w:sz w:val="24"/>
          <w:szCs w:val="24"/>
          <w:lang w:val="hr-HR"/>
        </w:rPr>
        <w:t>2021</w:t>
      </w:r>
      <w:r w:rsidR="00261071">
        <w:rPr>
          <w:rFonts w:ascii="Garamond" w:hAnsi="Garamond" w:cs="Times New Roman"/>
          <w:sz w:val="24"/>
          <w:szCs w:val="24"/>
          <w:lang w:val="hr-HR"/>
        </w:rPr>
        <w:t>. godine</w:t>
      </w:r>
      <w:r w:rsidR="00261C41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objavljen je </w:t>
      </w:r>
      <w:r w:rsidR="00261C41">
        <w:rPr>
          <w:rFonts w:ascii="Garamond" w:hAnsi="Garamond" w:cs="Times New Roman"/>
          <w:sz w:val="24"/>
          <w:szCs w:val="24"/>
          <w:lang w:val="hr-HR"/>
        </w:rPr>
        <w:t>Natječaj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za prijam u službu u Jedinstv</w:t>
      </w:r>
      <w:r w:rsidR="00300459">
        <w:rPr>
          <w:rFonts w:ascii="Garamond" w:hAnsi="Garamond" w:cs="Times New Roman"/>
          <w:sz w:val="24"/>
          <w:szCs w:val="24"/>
          <w:lang w:val="hr-HR"/>
        </w:rPr>
        <w:t>eni upravni odjel Općine Punat n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a radno mjesto </w:t>
      </w:r>
      <w:r w:rsidR="00300459">
        <w:rPr>
          <w:rFonts w:ascii="Garamond" w:hAnsi="Garamond" w:cs="Times New Roman"/>
          <w:sz w:val="24"/>
          <w:szCs w:val="24"/>
          <w:lang w:val="hr-HR"/>
        </w:rPr>
        <w:t xml:space="preserve">viši stručni suradnik za komunalno gospodarstvo i komunalni redar 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(1 izvršitelj/izvršiteljica), na </w:t>
      </w:r>
      <w:r w:rsidR="00296E74">
        <w:rPr>
          <w:rFonts w:ascii="Garamond" w:hAnsi="Garamond" w:cs="Times New Roman"/>
          <w:sz w:val="24"/>
          <w:szCs w:val="24"/>
          <w:lang w:val="hr-HR"/>
        </w:rPr>
        <w:t>ne</w:t>
      </w:r>
      <w:r w:rsidRPr="00D27DE1">
        <w:rPr>
          <w:rFonts w:ascii="Garamond" w:hAnsi="Garamond" w:cs="Times New Roman"/>
          <w:sz w:val="24"/>
          <w:szCs w:val="24"/>
          <w:lang w:val="hr-HR"/>
        </w:rPr>
        <w:t>određeno vrijeme</w:t>
      </w:r>
      <w:r w:rsidR="00296E74">
        <w:rPr>
          <w:rFonts w:ascii="Garamond" w:hAnsi="Garamond" w:cs="Times New Roman"/>
          <w:sz w:val="24"/>
          <w:szCs w:val="24"/>
          <w:lang w:val="hr-HR"/>
        </w:rPr>
        <w:t>,</w:t>
      </w: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uz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probni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rad u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trajanju</w:t>
      </w:r>
      <w:proofErr w:type="spellEnd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od </w:t>
      </w:r>
      <w:r w:rsidR="00296E74">
        <w:rPr>
          <w:rFonts w:ascii="Garamond" w:eastAsia="Times New Roman" w:hAnsi="Garamond" w:cs="Arial"/>
          <w:sz w:val="24"/>
          <w:szCs w:val="24"/>
          <w:lang w:eastAsia="hr-HR"/>
        </w:rPr>
        <w:t>3</w:t>
      </w:r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6B42B3">
        <w:rPr>
          <w:rFonts w:ascii="Garamond" w:eastAsia="Times New Roman" w:hAnsi="Garamond" w:cs="Arial"/>
          <w:sz w:val="24"/>
          <w:szCs w:val="24"/>
          <w:lang w:eastAsia="hr-HR"/>
        </w:rPr>
        <w:t>mjeseca</w:t>
      </w:r>
      <w:proofErr w:type="spellEnd"/>
      <w:r w:rsidRPr="006B42B3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r w:rsidRPr="00D27DE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1F913B49" w14:textId="77777777" w:rsidR="006C4FC9" w:rsidRPr="00D27DE1" w:rsidRDefault="006C4FC9" w:rsidP="00D126C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19C341E" w14:textId="77777777" w:rsidR="006C4FC9" w:rsidRPr="00FC4707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FC4707">
        <w:rPr>
          <w:rFonts w:ascii="Garamond" w:hAnsi="Garamond" w:cs="Times New Roman"/>
          <w:b/>
          <w:sz w:val="24"/>
          <w:szCs w:val="24"/>
          <w:lang w:val="hr-HR"/>
        </w:rPr>
        <w:t>OPIS POSLOVA</w:t>
      </w:r>
    </w:p>
    <w:p w14:paraId="00881927" w14:textId="77777777" w:rsidR="006C4FC9" w:rsidRPr="00300459" w:rsidRDefault="006C4FC9" w:rsidP="006C4FC9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00398DC4" w14:textId="65DE51E5" w:rsidR="006C4FC9" w:rsidRPr="00300459" w:rsidRDefault="0030045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300459">
        <w:rPr>
          <w:rFonts w:ascii="Garamond" w:hAnsi="Garamond" w:cs="Times New Roman"/>
          <w:sz w:val="24"/>
          <w:szCs w:val="24"/>
          <w:lang w:val="hr-HR"/>
        </w:rPr>
        <w:t xml:space="preserve">Viši stručni suradnik za komunalno gospodarstvo i komunalni redar </w:t>
      </w:r>
      <w:r w:rsidR="006C4FC9" w:rsidRPr="00300459">
        <w:rPr>
          <w:rFonts w:ascii="Garamond" w:hAnsi="Garamond" w:cs="Times New Roman"/>
          <w:sz w:val="24"/>
          <w:szCs w:val="24"/>
          <w:lang w:val="hr-HR"/>
        </w:rPr>
        <w:t>obavlja sljedeće poslove:</w:t>
      </w:r>
    </w:p>
    <w:p w14:paraId="5868685F" w14:textId="21085104" w:rsidR="00300459" w:rsidRPr="00300459" w:rsidRDefault="00300459" w:rsidP="00300459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hAnsi="Garamond" w:cs="Arial"/>
          <w:sz w:val="24"/>
          <w:szCs w:val="24"/>
        </w:rPr>
        <w:t>obavlja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poslove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komunalnog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redarstva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300459">
        <w:rPr>
          <w:rFonts w:ascii="Garamond" w:hAnsi="Garamond" w:cs="Arial"/>
          <w:sz w:val="24"/>
          <w:szCs w:val="24"/>
        </w:rPr>
        <w:t>granicama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zakonom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odlukom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o </w:t>
      </w:r>
      <w:proofErr w:type="spellStart"/>
      <w:r w:rsidRPr="00300459">
        <w:rPr>
          <w:rFonts w:ascii="Garamond" w:hAnsi="Garamond" w:cs="Arial"/>
          <w:sz w:val="24"/>
          <w:szCs w:val="24"/>
        </w:rPr>
        <w:t>komunalnom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redu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danih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ovlasti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rješavanja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o </w:t>
      </w:r>
      <w:proofErr w:type="spellStart"/>
      <w:r w:rsidRPr="00300459">
        <w:rPr>
          <w:rFonts w:ascii="Garamond" w:hAnsi="Garamond" w:cs="Arial"/>
          <w:sz w:val="24"/>
          <w:szCs w:val="24"/>
        </w:rPr>
        <w:t>pravima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obvezama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građana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00459">
        <w:rPr>
          <w:rFonts w:ascii="Garamond" w:hAnsi="Garamond" w:cs="Arial"/>
          <w:sz w:val="24"/>
          <w:szCs w:val="24"/>
        </w:rPr>
        <w:t>obavlja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nadzor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nad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provedbom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komunalnog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reda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te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nalaže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fizičkim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pravnim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osobama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radnje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300459">
        <w:rPr>
          <w:rFonts w:ascii="Garamond" w:hAnsi="Garamond" w:cs="Arial"/>
          <w:sz w:val="24"/>
          <w:szCs w:val="24"/>
        </w:rPr>
        <w:t>svrhu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održavanja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komunalnog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reda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00459">
        <w:rPr>
          <w:rFonts w:ascii="Garamond" w:hAnsi="Garamond" w:cs="Arial"/>
          <w:sz w:val="24"/>
          <w:szCs w:val="24"/>
        </w:rPr>
        <w:t>nalaže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uklanjanje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predmeta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00459">
        <w:rPr>
          <w:rFonts w:ascii="Garamond" w:hAnsi="Garamond" w:cs="Arial"/>
          <w:sz w:val="24"/>
          <w:szCs w:val="24"/>
        </w:rPr>
        <w:t>objekata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ili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uređaja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koji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postavljeni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bez </w:t>
      </w:r>
      <w:proofErr w:type="spellStart"/>
      <w:r w:rsidRPr="00300459">
        <w:rPr>
          <w:rFonts w:ascii="Garamond" w:hAnsi="Garamond" w:cs="Arial"/>
          <w:sz w:val="24"/>
          <w:szCs w:val="24"/>
        </w:rPr>
        <w:t>odobrenja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Općine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00459">
        <w:rPr>
          <w:rFonts w:ascii="Garamond" w:hAnsi="Garamond" w:cs="Arial"/>
          <w:sz w:val="24"/>
          <w:szCs w:val="24"/>
        </w:rPr>
        <w:t>izdaje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obvezne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prekršajne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naloge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00459">
        <w:rPr>
          <w:rFonts w:ascii="Garamond" w:hAnsi="Garamond" w:cs="Arial"/>
          <w:sz w:val="24"/>
          <w:szCs w:val="24"/>
        </w:rPr>
        <w:t>predlaže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pokretanje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prekršajnog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postupka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te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izriče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novčane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kazne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na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mjestu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počinjenja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prekršaja</w:t>
      </w:r>
      <w:proofErr w:type="spellEnd"/>
      <w:r>
        <w:rPr>
          <w:rFonts w:ascii="Garamond" w:hAnsi="Garamond" w:cs="Arial"/>
          <w:sz w:val="24"/>
          <w:szCs w:val="24"/>
        </w:rPr>
        <w:t>;</w:t>
      </w:r>
    </w:p>
    <w:p w14:paraId="3878E6E5" w14:textId="5718CCE2" w:rsidR="00300459" w:rsidRPr="00300459" w:rsidRDefault="00300459" w:rsidP="00300459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vrši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odlaganjem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otpada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suprotan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Zakonu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održivom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gospodarenju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otpadom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sukladno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ovlastima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propisanim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Zakonom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građevinskoj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inspekciji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i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inspekcijski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nadzor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nad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nerazvrstanim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cestama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 u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dijelu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određenom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Zakonom</w:t>
      </w:r>
      <w:proofErr w:type="spellEnd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o </w:t>
      </w:r>
      <w:proofErr w:type="spellStart"/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cestama</w:t>
      </w:r>
      <w:proofErr w:type="spellEnd"/>
      <w:r>
        <w:rPr>
          <w:rFonts w:ascii="Garamond" w:eastAsia="Times New Roman" w:hAnsi="Garamond" w:cs="Arial"/>
          <w:sz w:val="24"/>
          <w:szCs w:val="24"/>
          <w:lang w:eastAsia="hr-HR"/>
        </w:rPr>
        <w:t>;</w:t>
      </w:r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</w:p>
    <w:p w14:paraId="113EA5A1" w14:textId="6D78F069" w:rsidR="00300459" w:rsidRPr="00300459" w:rsidRDefault="00300459" w:rsidP="00300459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hAnsi="Garamond" w:cs="Arial"/>
          <w:sz w:val="24"/>
          <w:szCs w:val="24"/>
        </w:rPr>
        <w:t>izrađuje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Program </w:t>
      </w:r>
      <w:proofErr w:type="spellStart"/>
      <w:r w:rsidRPr="00300459">
        <w:rPr>
          <w:rFonts w:ascii="Garamond" w:hAnsi="Garamond" w:cs="Arial"/>
          <w:sz w:val="24"/>
          <w:szCs w:val="24"/>
        </w:rPr>
        <w:t>održavanja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Program </w:t>
      </w:r>
      <w:proofErr w:type="spellStart"/>
      <w:r w:rsidRPr="00300459">
        <w:rPr>
          <w:rFonts w:ascii="Garamond" w:hAnsi="Garamond" w:cs="Arial"/>
          <w:sz w:val="24"/>
          <w:szCs w:val="24"/>
        </w:rPr>
        <w:t>gradnje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komunalne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infrastrukture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područje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Općine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Punat,  </w:t>
      </w:r>
      <w:proofErr w:type="spellStart"/>
      <w:r w:rsidRPr="00300459">
        <w:rPr>
          <w:rFonts w:ascii="Garamond" w:hAnsi="Garamond" w:cs="Arial"/>
          <w:sz w:val="24"/>
          <w:szCs w:val="24"/>
        </w:rPr>
        <w:t>izrađuje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izvješća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o </w:t>
      </w:r>
      <w:proofErr w:type="spellStart"/>
      <w:r w:rsidRPr="00300459">
        <w:rPr>
          <w:rFonts w:ascii="Garamond" w:hAnsi="Garamond" w:cs="Arial"/>
          <w:sz w:val="24"/>
          <w:szCs w:val="24"/>
        </w:rPr>
        <w:t>izvršenju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Programa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te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prati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izvršavanje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Programa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00459">
        <w:rPr>
          <w:rFonts w:ascii="Garamond" w:hAnsi="Garamond" w:cs="Arial"/>
          <w:sz w:val="24"/>
          <w:szCs w:val="24"/>
        </w:rPr>
        <w:t>izrađuje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prijedloga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Plana </w:t>
      </w:r>
      <w:proofErr w:type="spellStart"/>
      <w:r w:rsidRPr="00300459">
        <w:rPr>
          <w:rFonts w:ascii="Garamond" w:hAnsi="Garamond" w:cs="Arial"/>
          <w:sz w:val="24"/>
          <w:szCs w:val="24"/>
        </w:rPr>
        <w:t>upravljanja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pomorskim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dobrom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području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Općine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Punat </w:t>
      </w:r>
      <w:proofErr w:type="spellStart"/>
      <w:r w:rsidRPr="00300459">
        <w:rPr>
          <w:rFonts w:ascii="Garamond" w:hAnsi="Garamond" w:cs="Arial"/>
          <w:sz w:val="24"/>
          <w:szCs w:val="24"/>
        </w:rPr>
        <w:t>te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praćenje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izvršavanja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Plana</w:t>
      </w:r>
      <w:r>
        <w:rPr>
          <w:rFonts w:ascii="Garamond" w:hAnsi="Garamond" w:cs="Arial"/>
          <w:sz w:val="24"/>
          <w:szCs w:val="24"/>
        </w:rPr>
        <w:t>;</w:t>
      </w:r>
      <w:r w:rsidRPr="00300459">
        <w:rPr>
          <w:rFonts w:ascii="Garamond" w:hAnsi="Garamond" w:cs="Arial"/>
          <w:sz w:val="24"/>
          <w:szCs w:val="24"/>
        </w:rPr>
        <w:t xml:space="preserve"> </w:t>
      </w:r>
    </w:p>
    <w:p w14:paraId="2B64BB13" w14:textId="048010B4" w:rsidR="00300459" w:rsidRPr="00300459" w:rsidRDefault="00300459" w:rsidP="00300459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hAnsi="Garamond" w:cs="Arial"/>
          <w:sz w:val="24"/>
          <w:szCs w:val="24"/>
        </w:rPr>
        <w:t>nadzire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izgradnju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projekata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nadležnosti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Odsjeka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te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prati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izvršavanje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ugovora</w:t>
      </w:r>
      <w:proofErr w:type="spellEnd"/>
      <w:r>
        <w:rPr>
          <w:rFonts w:ascii="Garamond" w:hAnsi="Garamond" w:cs="Arial"/>
          <w:sz w:val="24"/>
          <w:szCs w:val="24"/>
        </w:rPr>
        <w:t xml:space="preserve"> o </w:t>
      </w:r>
      <w:proofErr w:type="spellStart"/>
      <w:r>
        <w:rPr>
          <w:rFonts w:ascii="Garamond" w:hAnsi="Garamond" w:cs="Arial"/>
          <w:sz w:val="24"/>
          <w:szCs w:val="24"/>
        </w:rPr>
        <w:t>izgradnji</w:t>
      </w:r>
      <w:proofErr w:type="spellEnd"/>
      <w:r>
        <w:rPr>
          <w:rFonts w:ascii="Garamond" w:hAnsi="Garamond" w:cs="Arial"/>
          <w:sz w:val="24"/>
          <w:szCs w:val="24"/>
        </w:rPr>
        <w:t>;</w:t>
      </w:r>
    </w:p>
    <w:p w14:paraId="52699A79" w14:textId="400D741A" w:rsidR="00300459" w:rsidRPr="00300459" w:rsidRDefault="00300459" w:rsidP="00300459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hAnsi="Garamond" w:cs="Arial"/>
          <w:sz w:val="24"/>
          <w:szCs w:val="24"/>
        </w:rPr>
        <w:t>vodi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upravni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postupak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donosi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rješenja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300459">
        <w:rPr>
          <w:rFonts w:ascii="Garamond" w:hAnsi="Garamond" w:cs="Arial"/>
          <w:sz w:val="24"/>
          <w:szCs w:val="24"/>
        </w:rPr>
        <w:t>upravnim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stvarima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svoje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nadležnosti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te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izrađuje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prijedloge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akata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rad </w:t>
      </w:r>
      <w:proofErr w:type="spellStart"/>
      <w:r w:rsidRPr="00300459">
        <w:rPr>
          <w:rFonts w:ascii="Garamond" w:hAnsi="Garamond" w:cs="Arial"/>
          <w:sz w:val="24"/>
          <w:szCs w:val="24"/>
        </w:rPr>
        <w:t>Općinskog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vijeća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načelnika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svoje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nadležnosti</w:t>
      </w:r>
      <w:proofErr w:type="spellEnd"/>
      <w:r>
        <w:rPr>
          <w:rFonts w:ascii="Garamond" w:hAnsi="Garamond" w:cs="Arial"/>
          <w:sz w:val="24"/>
          <w:szCs w:val="24"/>
        </w:rPr>
        <w:t>;</w:t>
      </w:r>
      <w:r w:rsidRPr="00300459">
        <w:rPr>
          <w:rFonts w:ascii="Garamond" w:hAnsi="Garamond" w:cs="Arial"/>
          <w:sz w:val="24"/>
          <w:szCs w:val="24"/>
        </w:rPr>
        <w:t xml:space="preserve"> </w:t>
      </w:r>
    </w:p>
    <w:p w14:paraId="3857F43E" w14:textId="71177436" w:rsidR="00300459" w:rsidRPr="00300459" w:rsidRDefault="00300459" w:rsidP="00300459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hAnsi="Garamond" w:cs="Arial"/>
          <w:sz w:val="24"/>
          <w:szCs w:val="24"/>
        </w:rPr>
        <w:t>kontrolira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sudjeluje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300459">
        <w:rPr>
          <w:rFonts w:ascii="Garamond" w:hAnsi="Garamond" w:cs="Arial"/>
          <w:sz w:val="24"/>
          <w:szCs w:val="24"/>
        </w:rPr>
        <w:t>postupku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izdavanja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akata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gradnju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pozivu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upravnog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odjela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prostorno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uređenje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00459">
        <w:rPr>
          <w:rFonts w:ascii="Garamond" w:hAnsi="Garamond" w:cs="Arial"/>
          <w:sz w:val="24"/>
          <w:szCs w:val="24"/>
        </w:rPr>
        <w:t>graditeljstvo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zaštitu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okoliša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PGŽ-a, </w:t>
      </w:r>
      <w:proofErr w:type="spellStart"/>
      <w:r w:rsidRPr="00300459">
        <w:rPr>
          <w:rFonts w:ascii="Garamond" w:hAnsi="Garamond" w:cs="Arial"/>
          <w:sz w:val="24"/>
          <w:szCs w:val="24"/>
        </w:rPr>
        <w:t>izdaje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potvrde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glavnih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projekata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posebne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uvjete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izradu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glavnih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projekata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00459">
        <w:rPr>
          <w:rFonts w:ascii="Garamond" w:hAnsi="Garamond" w:cs="Arial"/>
          <w:sz w:val="24"/>
          <w:szCs w:val="24"/>
        </w:rPr>
        <w:t>obavlja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poslove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tehničke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pripreme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ishođenje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lastRenderedPageBreak/>
        <w:t>potrebnih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akata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gradnje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potrebe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Općine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Punat, </w:t>
      </w:r>
      <w:proofErr w:type="spellStart"/>
      <w:r w:rsidRPr="00300459">
        <w:rPr>
          <w:rFonts w:ascii="Garamond" w:hAnsi="Garamond" w:cs="Arial"/>
          <w:sz w:val="24"/>
          <w:szCs w:val="24"/>
        </w:rPr>
        <w:t>sudjeluje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300459">
        <w:rPr>
          <w:rFonts w:ascii="Garamond" w:hAnsi="Garamond" w:cs="Arial"/>
          <w:sz w:val="24"/>
          <w:szCs w:val="24"/>
        </w:rPr>
        <w:t>pronalasku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učinkovitih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rješenja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prometne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infrastructure;</w:t>
      </w:r>
      <w:r w:rsidRPr="00300459">
        <w:rPr>
          <w:rFonts w:ascii="Garamond" w:hAnsi="Garamond" w:cs="Arial"/>
          <w:sz w:val="24"/>
          <w:szCs w:val="24"/>
        </w:rPr>
        <w:t xml:space="preserve">  </w:t>
      </w:r>
    </w:p>
    <w:p w14:paraId="2141B1A9" w14:textId="2BD223C5" w:rsidR="00300459" w:rsidRPr="00300459" w:rsidRDefault="00300459" w:rsidP="00300459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hAnsi="Garamond" w:cs="Arial"/>
          <w:sz w:val="24"/>
          <w:szCs w:val="24"/>
        </w:rPr>
        <w:t>vodi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upravni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postupak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donosi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rješenja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300459">
        <w:rPr>
          <w:rFonts w:ascii="Garamond" w:hAnsi="Garamond" w:cs="Arial"/>
          <w:sz w:val="24"/>
          <w:szCs w:val="24"/>
        </w:rPr>
        <w:t>svezi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zahtjeva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dodjelu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koncesijskih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odobrenja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pomorskom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dobru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sukladno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odlukama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Vijeća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davanje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koncesijskih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odobrenja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pomorskom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dobru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Općine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Punat, </w:t>
      </w:r>
      <w:proofErr w:type="spellStart"/>
      <w:r w:rsidRPr="00300459">
        <w:rPr>
          <w:rFonts w:ascii="Garamond" w:hAnsi="Garamond" w:cs="Arial"/>
          <w:sz w:val="24"/>
          <w:szCs w:val="24"/>
        </w:rPr>
        <w:t>obavlja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administrativne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poslove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Vijeće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davanje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koncesijskih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odobrenja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pomorskom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dobru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Općine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Punat, </w:t>
      </w:r>
      <w:proofErr w:type="spellStart"/>
      <w:r w:rsidRPr="00300459">
        <w:rPr>
          <w:rFonts w:ascii="Garamond" w:hAnsi="Garamond" w:cs="Arial"/>
          <w:sz w:val="24"/>
          <w:szCs w:val="24"/>
        </w:rPr>
        <w:t>izrada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akata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Vijeća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davanje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koncesijskih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odobrenja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te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vođenje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Registra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izdanih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koncesijskih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odobrenja</w:t>
      </w:r>
      <w:proofErr w:type="spellEnd"/>
      <w:r>
        <w:rPr>
          <w:rFonts w:ascii="Garamond" w:hAnsi="Garamond" w:cs="Arial"/>
          <w:sz w:val="24"/>
          <w:szCs w:val="24"/>
        </w:rPr>
        <w:t>;</w:t>
      </w:r>
      <w:r w:rsidRPr="00300459">
        <w:rPr>
          <w:rFonts w:ascii="Garamond" w:hAnsi="Garamond" w:cs="Arial"/>
          <w:sz w:val="24"/>
          <w:szCs w:val="24"/>
        </w:rPr>
        <w:t xml:space="preserve"> </w:t>
      </w:r>
    </w:p>
    <w:p w14:paraId="704970A4" w14:textId="69788798" w:rsidR="00300459" w:rsidRPr="00300459" w:rsidRDefault="00300459" w:rsidP="00300459">
      <w:pPr>
        <w:numPr>
          <w:ilvl w:val="0"/>
          <w:numId w:val="6"/>
        </w:numPr>
        <w:spacing w:after="0" w:line="276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hAnsi="Garamond" w:cs="Arial"/>
          <w:sz w:val="24"/>
          <w:szCs w:val="24"/>
        </w:rPr>
        <w:t>obavlja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poslove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koji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uključuju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izradu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akata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djelokruga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JUO - </w:t>
      </w:r>
      <w:proofErr w:type="spellStart"/>
      <w:r w:rsidRPr="00300459">
        <w:rPr>
          <w:rFonts w:ascii="Garamond" w:hAnsi="Garamond" w:cs="Arial"/>
          <w:sz w:val="24"/>
          <w:szCs w:val="24"/>
        </w:rPr>
        <w:t>prostorno-planskih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dokumenata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dokumenata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prostornog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uređenja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00459">
        <w:rPr>
          <w:rFonts w:ascii="Garamond" w:hAnsi="Garamond" w:cs="Arial"/>
          <w:sz w:val="24"/>
          <w:szCs w:val="24"/>
        </w:rPr>
        <w:t>stručnih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podloga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studija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00459">
        <w:rPr>
          <w:rFonts w:ascii="Garamond" w:hAnsi="Garamond" w:cs="Arial"/>
          <w:sz w:val="24"/>
          <w:szCs w:val="24"/>
        </w:rPr>
        <w:t>priprema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provodi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stratešku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procjenu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utjecaja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okoliš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300459">
        <w:rPr>
          <w:rFonts w:ascii="Garamond" w:hAnsi="Garamond" w:cs="Arial"/>
          <w:sz w:val="24"/>
          <w:szCs w:val="24"/>
        </w:rPr>
        <w:t>pos</w:t>
      </w:r>
      <w:r>
        <w:rPr>
          <w:rFonts w:ascii="Garamond" w:hAnsi="Garamond" w:cs="Arial"/>
          <w:sz w:val="24"/>
          <w:szCs w:val="24"/>
        </w:rPr>
        <w:t>tupku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izrade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prostornih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planova</w:t>
      </w:r>
      <w:proofErr w:type="spellEnd"/>
      <w:r>
        <w:rPr>
          <w:rFonts w:ascii="Garamond" w:hAnsi="Garamond" w:cs="Arial"/>
          <w:sz w:val="24"/>
          <w:szCs w:val="24"/>
        </w:rPr>
        <w:t>;</w:t>
      </w:r>
    </w:p>
    <w:p w14:paraId="4C733206" w14:textId="4FF6B965" w:rsidR="00300459" w:rsidRPr="00300459" w:rsidRDefault="00300459" w:rsidP="00300459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hAnsi="Garamond" w:cs="Arial"/>
          <w:sz w:val="24"/>
          <w:szCs w:val="24"/>
        </w:rPr>
        <w:t>vodi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postupke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javne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nabave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ZJN, </w:t>
      </w:r>
      <w:proofErr w:type="spellStart"/>
      <w:r w:rsidRPr="00300459">
        <w:rPr>
          <w:rFonts w:ascii="Garamond" w:hAnsi="Garamond" w:cs="Arial"/>
          <w:sz w:val="24"/>
          <w:szCs w:val="24"/>
        </w:rPr>
        <w:t>kao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postupke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nabave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ZKG, </w:t>
      </w:r>
      <w:proofErr w:type="spellStart"/>
      <w:r w:rsidRPr="00300459">
        <w:rPr>
          <w:rFonts w:ascii="Garamond" w:hAnsi="Garamond" w:cs="Arial"/>
          <w:sz w:val="24"/>
          <w:szCs w:val="24"/>
        </w:rPr>
        <w:t>koncesija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ZKG </w:t>
      </w:r>
      <w:proofErr w:type="spellStart"/>
      <w:r w:rsidRPr="00300459">
        <w:rPr>
          <w:rFonts w:ascii="Garamond" w:hAnsi="Garamond" w:cs="Arial"/>
          <w:sz w:val="24"/>
          <w:szCs w:val="24"/>
        </w:rPr>
        <w:t>te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jednostavnu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nabavu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nadležnosti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Odjela</w:t>
      </w:r>
      <w:proofErr w:type="spellEnd"/>
      <w:r>
        <w:rPr>
          <w:rFonts w:ascii="Garamond" w:hAnsi="Garamond" w:cs="Arial"/>
          <w:sz w:val="24"/>
          <w:szCs w:val="24"/>
        </w:rPr>
        <w:t>;</w:t>
      </w:r>
    </w:p>
    <w:p w14:paraId="7A52E020" w14:textId="12AF5831" w:rsidR="00300459" w:rsidRPr="00300459" w:rsidRDefault="00300459" w:rsidP="00300459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hAnsi="Garamond" w:cs="Arial"/>
          <w:sz w:val="24"/>
          <w:szCs w:val="24"/>
        </w:rPr>
        <w:t>priprema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koordinira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izradu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svih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obrazaca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podataka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prijedloga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za </w:t>
      </w:r>
      <w:proofErr w:type="spellStart"/>
      <w:r w:rsidRPr="00300459">
        <w:rPr>
          <w:rFonts w:ascii="Garamond" w:hAnsi="Garamond" w:cs="Arial"/>
          <w:sz w:val="24"/>
          <w:szCs w:val="24"/>
        </w:rPr>
        <w:t>fondove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razini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PGŽ, </w:t>
      </w:r>
      <w:proofErr w:type="spellStart"/>
      <w:r w:rsidRPr="00300459">
        <w:rPr>
          <w:rFonts w:ascii="Garamond" w:hAnsi="Garamond" w:cs="Arial"/>
          <w:sz w:val="24"/>
          <w:szCs w:val="24"/>
        </w:rPr>
        <w:t>nadležnih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ministarstava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EU, </w:t>
      </w:r>
      <w:proofErr w:type="spellStart"/>
      <w:r w:rsidRPr="00300459">
        <w:rPr>
          <w:rFonts w:ascii="Garamond" w:hAnsi="Garamond" w:cs="Arial"/>
          <w:sz w:val="24"/>
          <w:szCs w:val="24"/>
        </w:rPr>
        <w:t>obavlja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poslove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prijave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razne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fondove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 </w:t>
      </w:r>
      <w:proofErr w:type="spellStart"/>
      <w:r w:rsidRPr="00300459">
        <w:rPr>
          <w:rFonts w:ascii="Garamond" w:hAnsi="Garamond" w:cs="Arial"/>
          <w:sz w:val="24"/>
          <w:szCs w:val="24"/>
        </w:rPr>
        <w:t>priprema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koordinira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potrebne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financijske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ekonomske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analize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studije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opravdanosti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te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prati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nadzire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provedbu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projekata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sufinanciranih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strane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fondova</w:t>
      </w:r>
      <w:proofErr w:type="spellEnd"/>
      <w:r>
        <w:rPr>
          <w:rFonts w:ascii="Garamond" w:hAnsi="Garamond" w:cs="Arial"/>
          <w:sz w:val="24"/>
          <w:szCs w:val="24"/>
        </w:rPr>
        <w:t>;</w:t>
      </w:r>
    </w:p>
    <w:p w14:paraId="2C391764" w14:textId="6BD713FC" w:rsidR="00300459" w:rsidRPr="00300459" w:rsidRDefault="00300459" w:rsidP="00300459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hAnsi="Garamond" w:cs="Arial"/>
          <w:sz w:val="24"/>
          <w:szCs w:val="24"/>
        </w:rPr>
        <w:t>koordinira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300459">
        <w:rPr>
          <w:rFonts w:ascii="Garamond" w:hAnsi="Garamond" w:cs="Arial"/>
          <w:sz w:val="24"/>
          <w:szCs w:val="24"/>
        </w:rPr>
        <w:t>obavljanju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poslova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dezinsekcije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300459">
        <w:rPr>
          <w:rFonts w:ascii="Garamond" w:hAnsi="Garamond" w:cs="Arial"/>
          <w:sz w:val="24"/>
          <w:szCs w:val="24"/>
        </w:rPr>
        <w:t>dezinfekcije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deratizacije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zaštite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bilja</w:t>
      </w:r>
      <w:proofErr w:type="spellEnd"/>
      <w:r>
        <w:rPr>
          <w:rFonts w:ascii="Garamond" w:hAnsi="Garamond" w:cs="Arial"/>
          <w:sz w:val="24"/>
          <w:szCs w:val="24"/>
        </w:rPr>
        <w:t>;</w:t>
      </w:r>
      <w:r w:rsidRPr="00300459">
        <w:rPr>
          <w:rFonts w:ascii="Garamond" w:hAnsi="Garamond" w:cs="Arial"/>
          <w:sz w:val="24"/>
          <w:szCs w:val="24"/>
        </w:rPr>
        <w:t xml:space="preserve"> </w:t>
      </w:r>
    </w:p>
    <w:p w14:paraId="25431393" w14:textId="35268FA0" w:rsidR="00300459" w:rsidRPr="00300459" w:rsidRDefault="00300459" w:rsidP="00300459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spellStart"/>
      <w:r w:rsidRPr="00300459">
        <w:rPr>
          <w:rFonts w:ascii="Garamond" w:hAnsi="Garamond" w:cs="Arial"/>
          <w:sz w:val="24"/>
          <w:szCs w:val="24"/>
        </w:rPr>
        <w:t>vodi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evidencije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nekretnina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u </w:t>
      </w:r>
      <w:proofErr w:type="spellStart"/>
      <w:r w:rsidRPr="00300459">
        <w:rPr>
          <w:rFonts w:ascii="Garamond" w:hAnsi="Garamond" w:cs="Arial"/>
          <w:sz w:val="24"/>
          <w:szCs w:val="24"/>
        </w:rPr>
        <w:t>registru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nekretnina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iz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svoje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nadležnosti</w:t>
      </w:r>
      <w:proofErr w:type="spellEnd"/>
      <w:r>
        <w:rPr>
          <w:rFonts w:ascii="Garamond" w:hAnsi="Garamond" w:cs="Arial"/>
          <w:sz w:val="24"/>
          <w:szCs w:val="24"/>
        </w:rPr>
        <w:t>;</w:t>
      </w:r>
      <w:r w:rsidRPr="00300459">
        <w:rPr>
          <w:rFonts w:ascii="Garamond" w:hAnsi="Garamond" w:cs="Arial"/>
          <w:sz w:val="24"/>
          <w:szCs w:val="24"/>
        </w:rPr>
        <w:t xml:space="preserve"> </w:t>
      </w:r>
    </w:p>
    <w:p w14:paraId="06EB2702" w14:textId="2360C851" w:rsidR="00300459" w:rsidRPr="00300459" w:rsidRDefault="00300459" w:rsidP="00300459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300459">
        <w:rPr>
          <w:rFonts w:ascii="Garamond" w:hAnsi="Garamond" w:cs="Arial"/>
          <w:sz w:val="24"/>
          <w:szCs w:val="24"/>
        </w:rPr>
        <w:t>u</w:t>
      </w:r>
      <w:proofErr w:type="gram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skladu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sa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zakonom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obavlja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druge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poslove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po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nalogu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voditelja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300459">
        <w:rPr>
          <w:rFonts w:ascii="Garamond" w:hAnsi="Garamond" w:cs="Arial"/>
          <w:sz w:val="24"/>
          <w:szCs w:val="24"/>
        </w:rPr>
        <w:t>Odsjeka</w:t>
      </w:r>
      <w:proofErr w:type="spellEnd"/>
      <w:r w:rsidRPr="00300459">
        <w:rPr>
          <w:rFonts w:ascii="Garamond" w:hAnsi="Garamond" w:cs="Arial"/>
          <w:sz w:val="24"/>
          <w:szCs w:val="24"/>
        </w:rPr>
        <w:t xml:space="preserve"> i </w:t>
      </w:r>
      <w:proofErr w:type="spellStart"/>
      <w:r w:rsidRPr="00300459">
        <w:rPr>
          <w:rFonts w:ascii="Garamond" w:hAnsi="Garamond" w:cs="Arial"/>
          <w:sz w:val="24"/>
          <w:szCs w:val="24"/>
        </w:rPr>
        <w:t>pročelnika</w:t>
      </w:r>
      <w:proofErr w:type="spellEnd"/>
      <w:r>
        <w:rPr>
          <w:rFonts w:ascii="Garamond" w:hAnsi="Garamond" w:cs="Arial"/>
          <w:sz w:val="24"/>
          <w:szCs w:val="24"/>
        </w:rPr>
        <w:t>.</w:t>
      </w:r>
    </w:p>
    <w:p w14:paraId="2816D6E1" w14:textId="77777777" w:rsidR="006C4FC9" w:rsidRPr="00300459" w:rsidRDefault="006C4FC9" w:rsidP="00E44E25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F3E2B8A" w14:textId="77777777" w:rsidR="006C4FC9" w:rsidRPr="00300459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300459">
        <w:rPr>
          <w:rFonts w:ascii="Garamond" w:hAnsi="Garamond" w:cs="Times New Roman"/>
          <w:b/>
          <w:sz w:val="24"/>
          <w:szCs w:val="24"/>
          <w:lang w:val="hr-HR"/>
        </w:rPr>
        <w:t>PODACI O PLAĆI</w:t>
      </w:r>
    </w:p>
    <w:p w14:paraId="5F1910A4" w14:textId="77777777" w:rsidR="006C4FC9" w:rsidRPr="00300459" w:rsidRDefault="006C4FC9" w:rsidP="006C4FC9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5FA056AB" w14:textId="17E58F66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Osnovnu bruto plaću čini umnožak koeficijenta radnog mjesta (</w:t>
      </w:r>
      <w:r w:rsidR="00300459">
        <w:rPr>
          <w:rFonts w:ascii="Garamond" w:hAnsi="Garamond" w:cs="Times New Roman"/>
          <w:sz w:val="24"/>
          <w:szCs w:val="24"/>
          <w:lang w:val="hr-HR"/>
        </w:rPr>
        <w:t>2,00</w:t>
      </w:r>
      <w:r w:rsidRPr="00D27DE1">
        <w:rPr>
          <w:rFonts w:ascii="Garamond" w:hAnsi="Garamond" w:cs="Times New Roman"/>
          <w:sz w:val="24"/>
          <w:szCs w:val="24"/>
          <w:lang w:val="hr-HR"/>
        </w:rPr>
        <w:t>) i osnovice koja iznosi 5.421,54 kune, uvećano za 0,5% za svaku navršenu godinu radnog staža.</w:t>
      </w:r>
    </w:p>
    <w:p w14:paraId="2529B7F6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C832A0A" w14:textId="77777777" w:rsidR="006C4FC9" w:rsidRPr="00D27DE1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PROVJERA ZNANJA I SPOSOBNOSTI</w:t>
      </w:r>
    </w:p>
    <w:p w14:paraId="5EF09B05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F780367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Provjera znanja i sposobnosti sastoji se od:</w:t>
      </w:r>
    </w:p>
    <w:p w14:paraId="4A277889" w14:textId="77777777" w:rsidR="006C4FC9" w:rsidRPr="00D27DE1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pisanog testiranja,</w:t>
      </w:r>
    </w:p>
    <w:p w14:paraId="6747EBBF" w14:textId="77777777" w:rsidR="006C4FC9" w:rsidRPr="00D27DE1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intervjua s kandidatima koji su ostvarili najmanje 50% ukupnog broja bodova na pisanom testiranju.</w:t>
      </w:r>
    </w:p>
    <w:p w14:paraId="4D2BDF45" w14:textId="77777777" w:rsidR="006C4FC9" w:rsidRPr="00D27DE1" w:rsidRDefault="006C4FC9" w:rsidP="006C4FC9">
      <w:pPr>
        <w:spacing w:after="0" w:line="240" w:lineRule="auto"/>
        <w:ind w:left="1211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27212E96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D27DE1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3F050623" w14:textId="4C1F07AB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</w:t>
      </w:r>
      <w:r w:rsidR="00C50693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 Natječaj</w:t>
      </w: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3EC937CB" w14:textId="77777777" w:rsidR="006C4FC9" w:rsidRPr="00D27DE1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D27DE1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Vrijeme održavanja </w:t>
      </w:r>
      <w:r w:rsidRPr="00D27DE1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hyperlink r:id="rId6" w:history="1">
        <w:r w:rsidRPr="00D27DE1">
          <w:rPr>
            <w:rFonts w:ascii="Garamond" w:hAnsi="Garamond"/>
            <w:bCs/>
            <w:color w:val="0563C1" w:themeColor="hyperlink"/>
            <w:sz w:val="24"/>
            <w:szCs w:val="24"/>
            <w:u w:val="single"/>
            <w:shd w:val="clear" w:color="auto" w:fill="FFFFFF"/>
            <w:lang w:val="hr-HR"/>
          </w:rPr>
          <w:t>www.punat.hr</w:t>
        </w:r>
      </w:hyperlink>
      <w:r w:rsidRPr="00D27DE1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>, i na oglasnoj ploči Općine Punat, najkasnije 5 (pet) dana prije održavanja provjere.</w:t>
      </w:r>
    </w:p>
    <w:p w14:paraId="486E40BC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8B64BE8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Pravni izvori za pripremanje kandidata za testiranje:</w:t>
      </w:r>
    </w:p>
    <w:p w14:paraId="148AD46E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2D044EF0" w14:textId="77777777" w:rsidR="006C4FC9" w:rsidRPr="00D27DE1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OPĆI DIO</w:t>
      </w:r>
    </w:p>
    <w:p w14:paraId="195511E6" w14:textId="2645B0B1" w:rsidR="006C4FC9" w:rsidRPr="00D27DE1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Zakon o lokalnoj i područnoj (regionalnoj) samoupravi („Narodne novine“ broj 33/01, 60/01, 129/05, 109/07, 125/08, 36/09, 150/11, 144/12, 19/13, 137/15</w:t>
      </w:r>
      <w:r>
        <w:rPr>
          <w:rFonts w:ascii="Garamond" w:hAnsi="Garamond" w:cs="Times New Roman"/>
          <w:sz w:val="24"/>
          <w:szCs w:val="24"/>
          <w:lang w:val="hr-HR"/>
        </w:rPr>
        <w:t xml:space="preserve">, </w:t>
      </w:r>
      <w:r w:rsidRPr="00D27DE1">
        <w:rPr>
          <w:rFonts w:ascii="Garamond" w:hAnsi="Garamond" w:cs="Times New Roman"/>
          <w:sz w:val="24"/>
          <w:szCs w:val="24"/>
          <w:lang w:val="hr-HR"/>
        </w:rPr>
        <w:t>123/17</w:t>
      </w:r>
      <w:r>
        <w:rPr>
          <w:rFonts w:ascii="Garamond" w:hAnsi="Garamond" w:cs="Times New Roman"/>
          <w:sz w:val="24"/>
          <w:szCs w:val="24"/>
          <w:lang w:val="hr-HR"/>
        </w:rPr>
        <w:t xml:space="preserve"> i 98/19</w:t>
      </w:r>
      <w:r w:rsidRPr="00D27DE1">
        <w:rPr>
          <w:rFonts w:ascii="Garamond" w:hAnsi="Garamond" w:cs="Times New Roman"/>
          <w:sz w:val="24"/>
          <w:szCs w:val="24"/>
          <w:lang w:val="hr-HR"/>
        </w:rPr>
        <w:t>)</w:t>
      </w:r>
      <w:r w:rsidR="00300459">
        <w:rPr>
          <w:rFonts w:ascii="Garamond" w:hAnsi="Garamond" w:cs="Times New Roman"/>
          <w:sz w:val="24"/>
          <w:szCs w:val="24"/>
          <w:lang w:val="hr-HR"/>
        </w:rPr>
        <w:t>;</w:t>
      </w:r>
    </w:p>
    <w:p w14:paraId="6F9C6DAF" w14:textId="5A984C2B" w:rsidR="006C4FC9" w:rsidRPr="00FC4707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Zakon o </w:t>
      </w:r>
      <w:r w:rsidRPr="00FC4707">
        <w:rPr>
          <w:rFonts w:ascii="Garamond" w:hAnsi="Garamond" w:cs="Times New Roman"/>
          <w:sz w:val="24"/>
          <w:szCs w:val="24"/>
          <w:lang w:val="hr-HR"/>
        </w:rPr>
        <w:t>općem upravnom postupku („Narodne novine“ broj 47/09)</w:t>
      </w:r>
      <w:r w:rsidR="00300459">
        <w:rPr>
          <w:rFonts w:ascii="Garamond" w:hAnsi="Garamond" w:cs="Times New Roman"/>
          <w:sz w:val="24"/>
          <w:szCs w:val="24"/>
          <w:lang w:val="hr-HR"/>
        </w:rPr>
        <w:t>;</w:t>
      </w:r>
    </w:p>
    <w:p w14:paraId="5F28B734" w14:textId="1FAEED9B" w:rsidR="006C4FC9" w:rsidRPr="00FC4707" w:rsidRDefault="006C4FC9" w:rsidP="006C4F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FC4707">
        <w:rPr>
          <w:rFonts w:ascii="Garamond" w:hAnsi="Garamond"/>
          <w:sz w:val="24"/>
          <w:szCs w:val="24"/>
          <w:lang w:val="hr-HR"/>
        </w:rPr>
        <w:t>Zakon o službenicima i namještenicima u lokalnoj i područnoj (regionalnoj) samoupravi („Narodne novine“ broj 86/08, 61/11, 4/18, 96/18 i 112/19)</w:t>
      </w:r>
      <w:r w:rsidR="00300459">
        <w:rPr>
          <w:rFonts w:ascii="Garamond" w:hAnsi="Garamond"/>
          <w:sz w:val="24"/>
          <w:szCs w:val="24"/>
          <w:lang w:val="hr-HR"/>
        </w:rPr>
        <w:t>.</w:t>
      </w:r>
    </w:p>
    <w:p w14:paraId="38091DA2" w14:textId="77777777" w:rsidR="006C4FC9" w:rsidRPr="00FC4707" w:rsidRDefault="006C4FC9" w:rsidP="006C4FC9">
      <w:pPr>
        <w:spacing w:after="0" w:line="240" w:lineRule="auto"/>
        <w:ind w:left="928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0C29E3A" w14:textId="77777777" w:rsidR="006C4FC9" w:rsidRPr="00FC4707" w:rsidRDefault="006C4FC9" w:rsidP="006C4FC9">
      <w:pPr>
        <w:spacing w:after="0" w:line="240" w:lineRule="auto"/>
        <w:ind w:left="42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FC4707">
        <w:rPr>
          <w:rFonts w:ascii="Garamond" w:hAnsi="Garamond" w:cs="Times New Roman"/>
          <w:sz w:val="24"/>
          <w:szCs w:val="24"/>
          <w:lang w:val="hr-HR"/>
        </w:rPr>
        <w:lastRenderedPageBreak/>
        <w:t>POSEBNI DIO</w:t>
      </w:r>
    </w:p>
    <w:p w14:paraId="46B692F6" w14:textId="03A684EA" w:rsidR="00AC7C41" w:rsidRPr="00300459" w:rsidRDefault="00AC7C41" w:rsidP="00493B92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>Zakon o komunalnom gospodarstvu</w:t>
      </w:r>
      <w:r w:rsidR="00AF777D"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(„Narodne novine“, broj 68/18, 110/18 i 32/20)</w:t>
      </w:r>
      <w:r w:rsidR="00300459">
        <w:rPr>
          <w:rFonts w:ascii="Garamond" w:hAnsi="Garamond"/>
          <w:color w:val="222222"/>
          <w:sz w:val="24"/>
          <w:szCs w:val="24"/>
          <w:shd w:val="clear" w:color="auto" w:fill="FFFFFF"/>
        </w:rPr>
        <w:t>;</w:t>
      </w:r>
    </w:p>
    <w:p w14:paraId="0AE5C1AF" w14:textId="2462F6E5" w:rsidR="00300459" w:rsidRPr="00300459" w:rsidRDefault="00300459" w:rsidP="00493B92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eastAsia="hr-HR"/>
        </w:rPr>
        <w:t>Zakon</w:t>
      </w:r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 xml:space="preserve"> o građevinskoj inspekciji </w:t>
      </w:r>
      <w:r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(„Narodne novine“, broj 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153/13</w:t>
      </w:r>
      <w:r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>)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;</w:t>
      </w:r>
    </w:p>
    <w:p w14:paraId="1D3853A7" w14:textId="3574AE1D" w:rsidR="00300459" w:rsidRPr="00FC4707" w:rsidRDefault="00300459" w:rsidP="00493B92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00459">
        <w:rPr>
          <w:rFonts w:ascii="Garamond" w:eastAsia="Times New Roman" w:hAnsi="Garamond" w:cs="Arial"/>
          <w:sz w:val="24"/>
          <w:szCs w:val="24"/>
          <w:lang w:eastAsia="hr-HR"/>
        </w:rPr>
        <w:t>Zakonu o gospodarenju otpadom</w:t>
      </w:r>
      <w:r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(„Narodne novine“, broj </w:t>
      </w:r>
      <w:r w:rsidR="001A2687">
        <w:rPr>
          <w:rFonts w:ascii="Garamond" w:hAnsi="Garamond"/>
          <w:color w:val="222222"/>
          <w:sz w:val="24"/>
          <w:szCs w:val="24"/>
          <w:shd w:val="clear" w:color="auto" w:fill="FFFFFF"/>
        </w:rPr>
        <w:t>84/21</w:t>
      </w:r>
      <w:bookmarkStart w:id="0" w:name="_GoBack"/>
      <w:bookmarkEnd w:id="0"/>
      <w:r w:rsidRPr="00FC4707">
        <w:rPr>
          <w:rFonts w:ascii="Garamond" w:hAnsi="Garamond"/>
          <w:color w:val="222222"/>
          <w:sz w:val="24"/>
          <w:szCs w:val="24"/>
          <w:shd w:val="clear" w:color="auto" w:fill="FFFFFF"/>
        </w:rPr>
        <w:t>)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;</w:t>
      </w:r>
    </w:p>
    <w:p w14:paraId="1381F718" w14:textId="28A2518F" w:rsidR="00FC4707" w:rsidRPr="00FC4707" w:rsidRDefault="00FC4707" w:rsidP="00FC4707">
      <w:pPr>
        <w:pStyle w:val="Odlomakpopisa"/>
        <w:numPr>
          <w:ilvl w:val="1"/>
          <w:numId w:val="1"/>
        </w:numPr>
        <w:suppressAutoHyphens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FC4707">
        <w:rPr>
          <w:rFonts w:ascii="Garamond" w:eastAsia="Calibri" w:hAnsi="Garamond" w:cs="Times New Roman"/>
          <w:sz w:val="24"/>
          <w:szCs w:val="24"/>
        </w:rPr>
        <w:t>Odluka o komunalnom redu („Službene novine Primorsk</w:t>
      </w:r>
      <w:r w:rsidR="00300459">
        <w:rPr>
          <w:rFonts w:ascii="Garamond" w:eastAsia="Calibri" w:hAnsi="Garamond" w:cs="Times New Roman"/>
          <w:sz w:val="24"/>
          <w:szCs w:val="24"/>
        </w:rPr>
        <w:t>o-goranske županije“ broj 8/18).</w:t>
      </w:r>
    </w:p>
    <w:p w14:paraId="2830AADB" w14:textId="77777777" w:rsidR="00FC4707" w:rsidRPr="00FC4707" w:rsidRDefault="00FC4707" w:rsidP="00FC4707">
      <w:pPr>
        <w:spacing w:after="0" w:line="240" w:lineRule="auto"/>
        <w:ind w:left="426"/>
        <w:jc w:val="both"/>
        <w:rPr>
          <w:rFonts w:ascii="Garamond" w:hAnsi="Garamond" w:cs="Times New Roman"/>
          <w:sz w:val="24"/>
          <w:szCs w:val="24"/>
        </w:rPr>
      </w:pPr>
    </w:p>
    <w:p w14:paraId="18610D2F" w14:textId="17E87284" w:rsidR="006C4FC9" w:rsidRPr="00FC4707" w:rsidRDefault="006C4FC9" w:rsidP="00493B92">
      <w:pPr>
        <w:spacing w:after="0" w:line="240" w:lineRule="auto"/>
        <w:ind w:left="78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E4392E6" w14:textId="77777777" w:rsidR="006C4FC9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675EB0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A87DAC" w14:textId="77777777" w:rsidR="006C4FC9" w:rsidRPr="00D27DE1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  <w:t xml:space="preserve"> POVJERENSTVO</w:t>
      </w:r>
    </w:p>
    <w:p w14:paraId="26633D65" w14:textId="4969A370" w:rsidR="006C4FC9" w:rsidRPr="00E44E25" w:rsidRDefault="006C4FC9" w:rsidP="00E44E25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Pr="00D27DE1">
        <w:rPr>
          <w:rFonts w:ascii="Garamond" w:hAnsi="Garamond" w:cs="Times New Roman"/>
          <w:sz w:val="24"/>
          <w:szCs w:val="24"/>
          <w:lang w:val="hr-HR"/>
        </w:rPr>
        <w:tab/>
      </w:r>
      <w:r w:rsidR="00EE5C41">
        <w:rPr>
          <w:rFonts w:ascii="Garamond" w:hAnsi="Garamond" w:cs="Times New Roman"/>
          <w:sz w:val="24"/>
          <w:szCs w:val="24"/>
          <w:lang w:val="hr-HR"/>
        </w:rPr>
        <w:t xml:space="preserve">        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ZA PROVEDBU </w:t>
      </w:r>
      <w:r w:rsidR="00EE5C41">
        <w:rPr>
          <w:rFonts w:ascii="Garamond" w:hAnsi="Garamond" w:cs="Times New Roman"/>
          <w:sz w:val="24"/>
          <w:szCs w:val="24"/>
          <w:lang w:val="hr-HR"/>
        </w:rPr>
        <w:t>NATJEČAJA</w:t>
      </w:r>
    </w:p>
    <w:p w14:paraId="48370C0E" w14:textId="77777777" w:rsidR="00E26DAB" w:rsidRDefault="001A2687"/>
    <w:sectPr w:rsidR="00E26DAB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3934FF"/>
    <w:multiLevelType w:val="hybridMultilevel"/>
    <w:tmpl w:val="DB9445FC"/>
    <w:lvl w:ilvl="0" w:tplc="E8CA3F2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C9"/>
    <w:rsid w:val="000474C2"/>
    <w:rsid w:val="0010378C"/>
    <w:rsid w:val="00180FEB"/>
    <w:rsid w:val="001A2687"/>
    <w:rsid w:val="00261071"/>
    <w:rsid w:val="00261C41"/>
    <w:rsid w:val="00296E74"/>
    <w:rsid w:val="00300459"/>
    <w:rsid w:val="003E25EA"/>
    <w:rsid w:val="00493B92"/>
    <w:rsid w:val="006B3FC2"/>
    <w:rsid w:val="006C4FC9"/>
    <w:rsid w:val="007255C3"/>
    <w:rsid w:val="00736C12"/>
    <w:rsid w:val="0086583B"/>
    <w:rsid w:val="008B0A8F"/>
    <w:rsid w:val="008C19C8"/>
    <w:rsid w:val="008E1D4D"/>
    <w:rsid w:val="00AC7C41"/>
    <w:rsid w:val="00AF777D"/>
    <w:rsid w:val="00C50693"/>
    <w:rsid w:val="00C90505"/>
    <w:rsid w:val="00D126CA"/>
    <w:rsid w:val="00DA7750"/>
    <w:rsid w:val="00E44E25"/>
    <w:rsid w:val="00EE5C41"/>
    <w:rsid w:val="00EF041F"/>
    <w:rsid w:val="00F53315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D22"/>
  <w15:chartTrackingRefBased/>
  <w15:docId w15:val="{CF49F547-4CB3-4CC7-85A4-5F053F1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C4FC9"/>
    <w:rPr>
      <w:b/>
      <w:bCs/>
    </w:rPr>
  </w:style>
  <w:style w:type="paragraph" w:styleId="Odlomakpopisa">
    <w:name w:val="List Paragraph"/>
    <w:basedOn w:val="Normal"/>
    <w:uiPriority w:val="34"/>
    <w:qFormat/>
    <w:rsid w:val="00493B92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2021-11-25T14:39:00Z</dcterms:created>
  <dcterms:modified xsi:type="dcterms:W3CDTF">2021-11-25T14:39:00Z</dcterms:modified>
</cp:coreProperties>
</file>