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896D9" w14:textId="77777777" w:rsidR="0018120A" w:rsidRPr="002B253A" w:rsidRDefault="0018120A" w:rsidP="0018120A">
      <w:pPr>
        <w:spacing w:before="2" w:after="0" w:line="160" w:lineRule="exact"/>
        <w:rPr>
          <w:rFonts w:ascii="Garamond" w:hAnsi="Garamond"/>
          <w:sz w:val="24"/>
          <w:szCs w:val="24"/>
        </w:rPr>
      </w:pPr>
    </w:p>
    <w:tbl>
      <w:tblPr>
        <w:tblpPr w:leftFromText="180" w:rightFromText="180" w:vertAnchor="page" w:horzAnchor="margin" w:tblpXSpec="center" w:tblpY="1720"/>
        <w:tblW w:w="1021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8363"/>
      </w:tblGrid>
      <w:tr w:rsidR="0018120A" w:rsidRPr="002B253A" w14:paraId="1F982AA8" w14:textId="77777777" w:rsidTr="0019726C">
        <w:trPr>
          <w:trHeight w:hRule="exact" w:val="609"/>
        </w:trPr>
        <w:tc>
          <w:tcPr>
            <w:tcW w:w="10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B9FA976" w14:textId="77777777" w:rsidR="0018120A" w:rsidRPr="002B253A" w:rsidRDefault="0018120A" w:rsidP="00CC0367">
            <w:pPr>
              <w:spacing w:before="3" w:after="0" w:line="140" w:lineRule="exact"/>
              <w:ind w:right="-432"/>
              <w:rPr>
                <w:rFonts w:ascii="Garamond" w:hAnsi="Garamond"/>
                <w:sz w:val="24"/>
                <w:szCs w:val="24"/>
              </w:rPr>
            </w:pPr>
          </w:p>
          <w:p w14:paraId="5734CC8D" w14:textId="77777777" w:rsidR="0018120A" w:rsidRPr="002B253A" w:rsidRDefault="0018120A" w:rsidP="00CC0367">
            <w:pPr>
              <w:spacing w:after="0" w:line="240" w:lineRule="auto"/>
              <w:ind w:left="39" w:right="-20"/>
              <w:jc w:val="center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OB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5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C SADR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Ž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JA DOKUMEN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6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 xml:space="preserve">A 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 S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JE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6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2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ANJE</w:t>
            </w:r>
          </w:p>
        </w:tc>
      </w:tr>
      <w:tr w:rsidR="0018120A" w:rsidRPr="002B253A" w14:paraId="22958531" w14:textId="77777777" w:rsidTr="0019726C">
        <w:trPr>
          <w:trHeight w:hRule="exact" w:val="1230"/>
        </w:trPr>
        <w:tc>
          <w:tcPr>
            <w:tcW w:w="1848" w:type="dxa"/>
            <w:tcBorders>
              <w:top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14:paraId="2BA940B4" w14:textId="77777777" w:rsidR="0018120A" w:rsidRPr="001F49D6" w:rsidRDefault="0018120A" w:rsidP="00CC0367">
            <w:pPr>
              <w:spacing w:after="0" w:line="200" w:lineRule="exact"/>
              <w:rPr>
                <w:rFonts w:ascii="Garamond" w:hAnsi="Garamond"/>
              </w:rPr>
            </w:pPr>
          </w:p>
          <w:p w14:paraId="172412C8" w14:textId="77777777" w:rsidR="0018120A" w:rsidRPr="001F49D6" w:rsidRDefault="0018120A" w:rsidP="00CC0367">
            <w:pPr>
              <w:spacing w:before="1" w:after="0" w:line="240" w:lineRule="exact"/>
              <w:rPr>
                <w:rFonts w:ascii="Garamond" w:hAnsi="Garamond"/>
              </w:rPr>
            </w:pPr>
          </w:p>
          <w:p w14:paraId="5DF150E1" w14:textId="77777777" w:rsidR="0018120A" w:rsidRPr="001F49D6" w:rsidRDefault="0018120A" w:rsidP="00CC0367">
            <w:pPr>
              <w:spacing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Nasl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 dokumenta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14:paraId="0DB8B9DC" w14:textId="77777777" w:rsidR="009337C8" w:rsidRPr="001F49D6" w:rsidRDefault="009337C8" w:rsidP="009337C8">
            <w:pPr>
              <w:spacing w:after="0" w:line="240" w:lineRule="auto"/>
              <w:ind w:right="-20"/>
              <w:rPr>
                <w:rFonts w:ascii="Garamond" w:eastAsia="Myriad Pro" w:hAnsi="Garamond" w:cs="Myriad Pro"/>
                <w:color w:val="231F20"/>
              </w:rPr>
            </w:pPr>
          </w:p>
          <w:p w14:paraId="02BED28A" w14:textId="77777777" w:rsidR="009D188E" w:rsidRPr="001F49D6" w:rsidRDefault="0049706D" w:rsidP="009337C8">
            <w:pPr>
              <w:spacing w:after="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eastAsia="Myriad Pro" w:hAnsi="Garamond" w:cs="Myriad Pro"/>
                <w:color w:val="231F20"/>
              </w:rPr>
              <w:t>Evidencija</w:t>
            </w:r>
            <w:r w:rsidR="00BB69B8">
              <w:rPr>
                <w:rFonts w:ascii="Garamond" w:eastAsia="Myriad Pro" w:hAnsi="Garamond" w:cs="Myriad Pro"/>
                <w:color w:val="231F20"/>
              </w:rPr>
              <w:t xml:space="preserve"> komunalne infrastrukture na području Općine Punat</w:t>
            </w:r>
          </w:p>
          <w:p w14:paraId="6D9FB2A6" w14:textId="77777777" w:rsidR="0018120A" w:rsidRPr="001F49D6" w:rsidRDefault="0018120A" w:rsidP="009D188E">
            <w:pPr>
              <w:spacing w:after="0" w:line="240" w:lineRule="auto"/>
              <w:ind w:right="-20"/>
              <w:rPr>
                <w:rFonts w:ascii="Garamond" w:eastAsia="Myriad Pro" w:hAnsi="Garamond" w:cs="Myriad Pro"/>
              </w:rPr>
            </w:pPr>
          </w:p>
        </w:tc>
      </w:tr>
      <w:tr w:rsidR="0018120A" w:rsidRPr="002B253A" w14:paraId="69997415" w14:textId="77777777" w:rsidTr="0019726C">
        <w:trPr>
          <w:trHeight w:hRule="exact" w:val="1157"/>
        </w:trPr>
        <w:tc>
          <w:tcPr>
            <w:tcW w:w="1848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5D236F28" w14:textId="77777777" w:rsidR="0018120A" w:rsidRPr="001F49D6" w:rsidRDefault="0018120A" w:rsidP="00CC0367">
            <w:pPr>
              <w:spacing w:before="37" w:after="0" w:line="260" w:lineRule="exact"/>
              <w:ind w:left="108" w:right="407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S</w:t>
            </w:r>
            <w:r w:rsidRPr="001F49D6">
              <w:rPr>
                <w:rFonts w:ascii="Garamond" w:eastAsia="Myriad Pro" w:hAnsi="Garamond" w:cs="Myriad Pro"/>
                <w:color w:val="231F20"/>
                <w:spacing w:val="2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vara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elj dokumenta, tijelo koje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rov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odi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anje</w:t>
            </w:r>
          </w:p>
        </w:tc>
        <w:tc>
          <w:tcPr>
            <w:tcW w:w="83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336C40E0" w14:textId="77777777" w:rsidR="0018120A" w:rsidRPr="001F49D6" w:rsidRDefault="0018120A" w:rsidP="00CC0367">
            <w:pPr>
              <w:spacing w:before="16" w:after="0" w:line="280" w:lineRule="exact"/>
              <w:rPr>
                <w:rFonts w:ascii="Garamond" w:hAnsi="Garamond"/>
              </w:rPr>
            </w:pPr>
          </w:p>
          <w:p w14:paraId="5B01A811" w14:textId="77777777" w:rsidR="0018120A" w:rsidRPr="001F49D6" w:rsidRDefault="0018120A" w:rsidP="00BB69B8">
            <w:pPr>
              <w:spacing w:after="0" w:line="240" w:lineRule="auto"/>
              <w:ind w:right="-20"/>
              <w:jc w:val="center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  <w:spacing w:val="-3"/>
              </w:rPr>
              <w:t>Općina Punat</w:t>
            </w:r>
          </w:p>
        </w:tc>
      </w:tr>
      <w:tr w:rsidR="0018120A" w:rsidRPr="002B253A" w14:paraId="7F84E247" w14:textId="77777777" w:rsidTr="009907F2">
        <w:trPr>
          <w:trHeight w:hRule="exact" w:val="5952"/>
        </w:trPr>
        <w:tc>
          <w:tcPr>
            <w:tcW w:w="1848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3F0736A6" w14:textId="77777777" w:rsidR="0018120A" w:rsidRPr="001F49D6" w:rsidRDefault="0018120A" w:rsidP="00CC0367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S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vrha dokumenta</w:t>
            </w:r>
          </w:p>
        </w:tc>
        <w:tc>
          <w:tcPr>
            <w:tcW w:w="83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12C86329" w14:textId="77777777" w:rsidR="00FC7A88" w:rsidRDefault="00FC7A88" w:rsidP="00FC7A88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</w:p>
          <w:p w14:paraId="2C90E21B" w14:textId="77777777" w:rsidR="00FC7A88" w:rsidRDefault="00FC7A88" w:rsidP="00FC7A88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>
              <w:rPr>
                <w:rFonts w:ascii="Garamond" w:eastAsia="Myriad Pro" w:hAnsi="Garamond" w:cs="Myriad Pro"/>
              </w:rPr>
              <w:t>Komunalna infrastruktura je javno dobro u općoj uporabi u vlasništvu odnosno suvlasništvu jedinice lokalne samouprave i/ili osobe koja obavlja komunalnu djelatnost. Komunalnu ifrastrukturu čine nerazvrstanie ceste, javne prometne površine na kojima nije dopušten promet motornim vozilima, javna parkirališta, javne zelene površine, građevine i uređaji javne namjene, javna rasvjeta, groblja i krematoriji te građevine namijenje</w:t>
            </w:r>
            <w:r w:rsidR="00EE40FA">
              <w:rPr>
                <w:rFonts w:ascii="Garamond" w:eastAsia="Myriad Pro" w:hAnsi="Garamond" w:cs="Myriad Pro"/>
              </w:rPr>
              <w:t>ne obavljanju javnog prijevoza te se</w:t>
            </w:r>
            <w:r w:rsidR="009337C8">
              <w:rPr>
                <w:rFonts w:ascii="Garamond" w:eastAsia="Myriad Pro" w:hAnsi="Garamond" w:cs="Myriad Pro"/>
              </w:rPr>
              <w:t xml:space="preserve"> evidencija iste</w:t>
            </w:r>
            <w:r w:rsidR="00EE40FA">
              <w:rPr>
                <w:rFonts w:ascii="Garamond" w:eastAsia="Myriad Pro" w:hAnsi="Garamond" w:cs="Myriad Pro"/>
              </w:rPr>
              <w:t xml:space="preserve"> izrađuje temeljem Zakona o komunalnom gospodarstvu (NN broj: 66/18, 110/18, 32/20, 145/24).</w:t>
            </w:r>
          </w:p>
          <w:p w14:paraId="4D3EE0DA" w14:textId="77777777" w:rsidR="00302984" w:rsidRDefault="00302984" w:rsidP="00FC7A88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</w:p>
          <w:p w14:paraId="0044EA22" w14:textId="0C662634" w:rsidR="00302984" w:rsidRDefault="00302984" w:rsidP="00FC7A88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>
              <w:rPr>
                <w:rFonts w:ascii="Garamond" w:eastAsia="Myriad Pro" w:hAnsi="Garamond" w:cs="Myriad Pro"/>
              </w:rPr>
              <w:t xml:space="preserve">U mjesecu listopadu 2024. godine </w:t>
            </w:r>
            <w:r w:rsidR="00801B04">
              <w:rPr>
                <w:rFonts w:ascii="Garamond" w:eastAsia="Myriad Pro" w:hAnsi="Garamond" w:cs="Myriad Pro"/>
              </w:rPr>
              <w:t>izvršen je pregled terena radi prikupljanja informacija</w:t>
            </w:r>
            <w:r>
              <w:rPr>
                <w:rFonts w:ascii="Garamond" w:eastAsia="Myriad Pro" w:hAnsi="Garamond" w:cs="Myriad Pro"/>
              </w:rPr>
              <w:t>, nakon čega je pristupljeno izradi evide</w:t>
            </w:r>
            <w:r w:rsidR="009907F2">
              <w:rPr>
                <w:rFonts w:ascii="Garamond" w:eastAsia="Myriad Pro" w:hAnsi="Garamond" w:cs="Myriad Pro"/>
              </w:rPr>
              <w:t>ncije</w:t>
            </w:r>
            <w:r w:rsidR="00FC7A88">
              <w:rPr>
                <w:rFonts w:ascii="Garamond" w:eastAsia="Myriad Pro" w:hAnsi="Garamond" w:cs="Myriad Pro"/>
              </w:rPr>
              <w:t xml:space="preserve"> komunalne infrastrukture </w:t>
            </w:r>
            <w:r w:rsidR="00EE40FA">
              <w:rPr>
                <w:rFonts w:ascii="Garamond" w:eastAsia="Myriad Pro" w:hAnsi="Garamond" w:cs="Myriad Pro"/>
              </w:rPr>
              <w:t>izrađen</w:t>
            </w:r>
            <w:r w:rsidR="00861C06">
              <w:rPr>
                <w:rFonts w:ascii="Garamond" w:eastAsia="Myriad Pro" w:hAnsi="Garamond" w:cs="Myriad Pro"/>
              </w:rPr>
              <w:t>e</w:t>
            </w:r>
            <w:r w:rsidR="00EE40FA">
              <w:rPr>
                <w:rFonts w:ascii="Garamond" w:eastAsia="Myriad Pro" w:hAnsi="Garamond" w:cs="Myriad Pro"/>
              </w:rPr>
              <w:t xml:space="preserve"> </w:t>
            </w:r>
            <w:r w:rsidR="00861C06">
              <w:rPr>
                <w:rFonts w:ascii="Garamond" w:eastAsia="Myriad Pro" w:hAnsi="Garamond" w:cs="Myriad Pro"/>
              </w:rPr>
              <w:t>od tvrtke</w:t>
            </w:r>
            <w:r w:rsidR="00EE40FA">
              <w:rPr>
                <w:rFonts w:ascii="Garamond" w:eastAsia="Myriad Pro" w:hAnsi="Garamond" w:cs="Myriad Pro"/>
              </w:rPr>
              <w:t xml:space="preserve"> Digitaln</w:t>
            </w:r>
            <w:r w:rsidR="00FC7A88">
              <w:rPr>
                <w:rFonts w:ascii="Garamond" w:eastAsia="Myriad Pro" w:hAnsi="Garamond" w:cs="Myriad Pro"/>
              </w:rPr>
              <w:t>i prostor d.o.o., Rijeka, Miluti</w:t>
            </w:r>
            <w:r w:rsidR="00EE40FA">
              <w:rPr>
                <w:rFonts w:ascii="Garamond" w:eastAsia="Myriad Pro" w:hAnsi="Garamond" w:cs="Myriad Pro"/>
              </w:rPr>
              <w:t xml:space="preserve">na Barača 7. Podaci su integrirani u geografski informacijski sustav (GIS), sustav za prikupljanje, upravljanje i analizu podataka. </w:t>
            </w:r>
          </w:p>
          <w:p w14:paraId="6ED6D325" w14:textId="77777777" w:rsidR="00302984" w:rsidRDefault="00302984" w:rsidP="00FC7A88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</w:p>
          <w:p w14:paraId="426F2682" w14:textId="77777777" w:rsidR="009907F2" w:rsidRDefault="009907F2" w:rsidP="00FC7A88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>
              <w:rPr>
                <w:rFonts w:ascii="Garamond" w:eastAsia="Myriad Pro" w:hAnsi="Garamond" w:cs="Myriad Pro"/>
              </w:rPr>
              <w:t>Kroz evidenciju komunalne infrastrukture evidentirane su</w:t>
            </w:r>
            <w:r w:rsidR="00302984">
              <w:rPr>
                <w:rFonts w:ascii="Garamond" w:eastAsia="Myriad Pro" w:hAnsi="Garamond" w:cs="Myriad Pro"/>
              </w:rPr>
              <w:t xml:space="preserve"> </w:t>
            </w:r>
            <w:r>
              <w:rPr>
                <w:rFonts w:ascii="Garamond" w:eastAsia="Myriad Pro" w:hAnsi="Garamond" w:cs="Myriad Pro"/>
              </w:rPr>
              <w:t>nerazvrstane ceste</w:t>
            </w:r>
            <w:r w:rsidR="00302984">
              <w:rPr>
                <w:rFonts w:ascii="Garamond" w:eastAsia="Myriad Pro" w:hAnsi="Garamond" w:cs="Myriad Pro"/>
              </w:rPr>
              <w:t xml:space="preserve">, javne prometne površine na kojima nije dopušten promet motornim vozilima, javna parkirališta, javne zelene površine, građevine i uređaji javne namjene, javna rasvjeta, groblja i krematoriji te građevine namijenjene obavljanju javnog prijevoza. </w:t>
            </w:r>
          </w:p>
          <w:p w14:paraId="3D251907" w14:textId="77777777" w:rsidR="00302984" w:rsidRDefault="00EE40FA" w:rsidP="00FC7A88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>
              <w:rPr>
                <w:rFonts w:ascii="Garamond" w:eastAsia="Myriad Pro" w:hAnsi="Garamond" w:cs="Myriad Pro"/>
              </w:rPr>
              <w:t xml:space="preserve">Svakoj pojedinačnoj komunalnoj infrastrukturi pridružen je naziv i vrsta komunalne infrastrukture, oznaka katastarske čestice i katastarska općina, vlasništvo te upravljanje komunalnom infrastrukturom. </w:t>
            </w:r>
          </w:p>
          <w:p w14:paraId="533DE62D" w14:textId="77777777" w:rsidR="00FC7A88" w:rsidRDefault="00FC7A88" w:rsidP="00FC7A88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</w:p>
          <w:p w14:paraId="08B434E0" w14:textId="77777777" w:rsidR="00FC7A88" w:rsidRDefault="00FC7A88" w:rsidP="00FC7A88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</w:p>
          <w:p w14:paraId="045D37C4" w14:textId="77777777" w:rsidR="00302984" w:rsidRDefault="00302984" w:rsidP="00302984">
            <w:pPr>
              <w:spacing w:before="35" w:after="0" w:line="240" w:lineRule="auto"/>
              <w:ind w:right="-20"/>
              <w:jc w:val="center"/>
              <w:rPr>
                <w:rFonts w:ascii="Garamond" w:eastAsia="Myriad Pro" w:hAnsi="Garamond" w:cs="Myriad Pro"/>
              </w:rPr>
            </w:pPr>
          </w:p>
          <w:p w14:paraId="07310B23" w14:textId="77777777" w:rsidR="00302984" w:rsidRPr="00302984" w:rsidRDefault="00302984" w:rsidP="00302984">
            <w:pPr>
              <w:spacing w:before="35" w:after="0" w:line="240" w:lineRule="auto"/>
              <w:ind w:right="-20"/>
              <w:jc w:val="center"/>
              <w:rPr>
                <w:rFonts w:ascii="Garamond" w:eastAsia="Myriad Pro" w:hAnsi="Garamond" w:cs="Myriad Pro"/>
              </w:rPr>
            </w:pPr>
          </w:p>
        </w:tc>
      </w:tr>
      <w:tr w:rsidR="0018120A" w:rsidRPr="002B253A" w14:paraId="3747C114" w14:textId="77777777" w:rsidTr="0019726C">
        <w:trPr>
          <w:trHeight w:hRule="exact" w:val="360"/>
        </w:trPr>
        <w:tc>
          <w:tcPr>
            <w:tcW w:w="1848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27E9B036" w14:textId="77777777" w:rsidR="0018120A" w:rsidRPr="001F49D6" w:rsidRDefault="0018120A" w:rsidP="00CC0367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Datum dokumenta</w:t>
            </w:r>
          </w:p>
        </w:tc>
        <w:tc>
          <w:tcPr>
            <w:tcW w:w="83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4B19C92E" w14:textId="62BEE0EA" w:rsidR="0018120A" w:rsidRPr="001F49D6" w:rsidRDefault="00302984" w:rsidP="00302984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>
              <w:rPr>
                <w:rFonts w:ascii="Garamond" w:eastAsia="Myriad Pro" w:hAnsi="Garamond" w:cs="Myriad Pro"/>
                <w:color w:val="231F20"/>
              </w:rPr>
              <w:t xml:space="preserve"> </w:t>
            </w:r>
            <w:r w:rsidR="00861C06">
              <w:rPr>
                <w:rFonts w:ascii="Garamond" w:eastAsia="Myriad Pro" w:hAnsi="Garamond" w:cs="Myriad Pro"/>
                <w:color w:val="231F20"/>
              </w:rPr>
              <w:t>Listopad</w:t>
            </w:r>
            <w:r w:rsidR="0018120A" w:rsidRPr="001F49D6">
              <w:rPr>
                <w:rFonts w:ascii="Garamond" w:eastAsia="Myriad Pro" w:hAnsi="Garamond" w:cs="Myriad Pro"/>
                <w:color w:val="231F20"/>
              </w:rPr>
              <w:t xml:space="preserve"> 202</w:t>
            </w:r>
            <w:r>
              <w:rPr>
                <w:rFonts w:ascii="Garamond" w:eastAsia="Myriad Pro" w:hAnsi="Garamond" w:cs="Myriad Pro"/>
                <w:color w:val="231F20"/>
              </w:rPr>
              <w:t>4</w:t>
            </w:r>
            <w:r w:rsidR="0018120A" w:rsidRPr="001F49D6">
              <w:rPr>
                <w:rFonts w:ascii="Garamond" w:eastAsia="Myriad Pro" w:hAnsi="Garamond" w:cs="Myriad Pro"/>
                <w:color w:val="231F20"/>
              </w:rPr>
              <w:t>. godine</w:t>
            </w:r>
          </w:p>
        </w:tc>
      </w:tr>
      <w:tr w:rsidR="0018120A" w:rsidRPr="002B253A" w14:paraId="28AB8931" w14:textId="77777777" w:rsidTr="007F4BD6">
        <w:trPr>
          <w:trHeight w:hRule="exact" w:val="762"/>
        </w:trPr>
        <w:tc>
          <w:tcPr>
            <w:tcW w:w="10211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56C6EE29" w14:textId="77777777" w:rsidR="0018120A" w:rsidRPr="00EE2B1A" w:rsidRDefault="0018120A" w:rsidP="009907F2">
            <w:pPr>
              <w:spacing w:after="0" w:line="240" w:lineRule="auto"/>
              <w:rPr>
                <w:rFonts w:ascii="Garamond" w:hAnsi="Garamond" w:cs="Times New Roman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 xml:space="preserve">– opis 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em</w:t>
            </w:r>
            <w:r w:rsidRPr="001F49D6">
              <w:rPr>
                <w:rFonts w:ascii="Garamond" w:eastAsia="Myriad Pro" w:hAnsi="Garamond" w:cs="Myriad Pro"/>
                <w:color w:val="231F20"/>
                <w:spacing w:val="-3"/>
              </w:rPr>
              <w:t>e</w:t>
            </w:r>
            <w:r w:rsidRPr="001F49D6">
              <w:rPr>
                <w:rFonts w:ascii="Garamond" w:eastAsia="Myriad Pro" w:hAnsi="Garamond" w:cs="Myriad Pro"/>
                <w:color w:val="231F20"/>
              </w:rPr>
              <w:t>, prijedloga ili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oblema o kojemu se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rov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odi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 xml:space="preserve">anje: Savjetovanje se provodi </w:t>
            </w:r>
            <w:r w:rsidR="00302984">
              <w:rPr>
                <w:rFonts w:ascii="Garamond" w:eastAsia="Myriad Pro" w:hAnsi="Garamond" w:cs="Myriad Pro"/>
                <w:color w:val="231F20"/>
              </w:rPr>
              <w:t>u svrhu usvajanja evidencije komunalne infrastrukture</w:t>
            </w:r>
            <w:r w:rsidR="005035DB">
              <w:rPr>
                <w:rFonts w:ascii="Garamond" w:eastAsia="Myriad Pro" w:hAnsi="Garamond" w:cs="Myriad Pro"/>
                <w:color w:val="231F20"/>
              </w:rPr>
              <w:t>.</w:t>
            </w:r>
          </w:p>
        </w:tc>
      </w:tr>
      <w:tr w:rsidR="0018120A" w:rsidRPr="002B253A" w14:paraId="36FCECA3" w14:textId="77777777" w:rsidTr="0019726C">
        <w:trPr>
          <w:trHeight w:hRule="exact" w:val="903"/>
        </w:trPr>
        <w:tc>
          <w:tcPr>
            <w:tcW w:w="10211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57BADEA9" w14:textId="77777777" w:rsidR="0018120A" w:rsidRPr="001F49D6" w:rsidRDefault="0018120A" w:rsidP="00CC0367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– svrha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 xml:space="preserve">anja i cilj koji bi se prijedlogom 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ž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elio postići: Cilj savjetovanja sa zainteresiranom javnošću jest upozn</w:t>
            </w:r>
            <w:r w:rsidR="005035DB">
              <w:rPr>
                <w:rFonts w:ascii="Garamond" w:eastAsia="Myriad Pro" w:hAnsi="Garamond" w:cs="Myriad Pro"/>
                <w:color w:val="231F20"/>
              </w:rPr>
              <w:t xml:space="preserve">avanje zainteresirane javnosti </w:t>
            </w:r>
            <w:r w:rsidRPr="001F49D6">
              <w:rPr>
                <w:rFonts w:ascii="Garamond" w:eastAsia="Myriad Pro" w:hAnsi="Garamond" w:cs="Myriad Pro"/>
                <w:color w:val="231F20"/>
              </w:rPr>
              <w:t>s prijedlogom dokumenta te prikupljanje prijedloga i primjedbi zainteresirane javnosti koji će se razmatrati i eventualno prihvatiti.</w:t>
            </w:r>
          </w:p>
        </w:tc>
      </w:tr>
      <w:tr w:rsidR="0018120A" w:rsidRPr="002B253A" w14:paraId="774BEBEA" w14:textId="77777777" w:rsidTr="0019726C">
        <w:trPr>
          <w:trHeight w:hRule="exact" w:val="762"/>
        </w:trPr>
        <w:tc>
          <w:tcPr>
            <w:tcW w:w="10211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200EEAA1" w14:textId="48788713" w:rsidR="0018120A" w:rsidRPr="001F49D6" w:rsidRDefault="0018120A" w:rsidP="00CC0367">
            <w:pPr>
              <w:spacing w:before="37" w:after="0" w:line="260" w:lineRule="exact"/>
              <w:ind w:left="265" w:right="645" w:hanging="157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– me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oda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 xml:space="preserve">anja: Savjetovanje se provodi javnom objavom na </w:t>
            </w:r>
            <w:r w:rsidR="00861C06">
              <w:rPr>
                <w:rFonts w:ascii="Garamond" w:eastAsia="Myriad Pro" w:hAnsi="Garamond" w:cs="Myriad Pro"/>
                <w:color w:val="231F20"/>
              </w:rPr>
              <w:t>Internet</w:t>
            </w:r>
            <w:r w:rsidRPr="001F49D6">
              <w:rPr>
                <w:rFonts w:ascii="Garamond" w:eastAsia="Myriad Pro" w:hAnsi="Garamond" w:cs="Myriad Pro"/>
                <w:color w:val="231F20"/>
              </w:rPr>
              <w:t xml:space="preserve"> stranici Općine Punat putem priloženog obrasca za sudjelovanje u savjetovanju.</w:t>
            </w:r>
          </w:p>
        </w:tc>
      </w:tr>
      <w:tr w:rsidR="0018120A" w:rsidRPr="002B253A" w14:paraId="2A3718D9" w14:textId="77777777" w:rsidTr="0019726C">
        <w:trPr>
          <w:trHeight w:hRule="exact" w:val="1177"/>
        </w:trPr>
        <w:tc>
          <w:tcPr>
            <w:tcW w:w="10211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36A67083" w14:textId="7DBC539F" w:rsidR="0018120A" w:rsidRPr="001F49D6" w:rsidRDefault="0018120A" w:rsidP="00302984">
            <w:pPr>
              <w:spacing w:before="37" w:after="0" w:line="260" w:lineRule="exact"/>
              <w:ind w:left="265" w:right="270" w:hanging="157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 xml:space="preserve">– 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ok zaprimanja odg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ov</w:t>
            </w:r>
            <w:r w:rsidRPr="001F49D6">
              <w:rPr>
                <w:rFonts w:ascii="Garamond" w:eastAsia="Myriad Pro" w:hAnsi="Garamond" w:cs="Myriad Pro"/>
                <w:color w:val="231F20"/>
              </w:rPr>
              <w:t xml:space="preserve">ora i način na koji 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ć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 biti pru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ž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ena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vratna in</w:t>
            </w:r>
            <w:r w:rsidRPr="001F49D6">
              <w:rPr>
                <w:rFonts w:ascii="Garamond" w:eastAsia="Myriad Pro" w:hAnsi="Garamond" w:cs="Myriad Pro"/>
                <w:color w:val="231F20"/>
                <w:spacing w:val="-3"/>
              </w:rPr>
              <w:t>f</w:t>
            </w:r>
            <w:r w:rsidRPr="001F49D6">
              <w:rPr>
                <w:rFonts w:ascii="Garamond" w:eastAsia="Myriad Pro" w:hAnsi="Garamond" w:cs="Myriad Pro"/>
                <w:color w:val="231F20"/>
              </w:rPr>
              <w:t xml:space="preserve">ormacija: Savjetovanje je otvoreno do </w:t>
            </w:r>
            <w:r w:rsidR="00861C06">
              <w:rPr>
                <w:rFonts w:ascii="Garamond" w:eastAsia="Myriad Pro" w:hAnsi="Garamond" w:cs="Myriad Pro"/>
                <w:color w:val="231F20"/>
              </w:rPr>
              <w:t>12</w:t>
            </w:r>
            <w:r w:rsidRPr="001F49D6">
              <w:rPr>
                <w:rFonts w:ascii="Garamond" w:eastAsia="Myriad Pro" w:hAnsi="Garamond" w:cs="Myriad Pro"/>
                <w:color w:val="231F20"/>
              </w:rPr>
              <w:t xml:space="preserve">. </w:t>
            </w:r>
            <w:r w:rsidR="00861C06">
              <w:rPr>
                <w:rFonts w:ascii="Garamond" w:eastAsia="Myriad Pro" w:hAnsi="Garamond" w:cs="Myriad Pro"/>
                <w:color w:val="231F20"/>
              </w:rPr>
              <w:t>rujna</w:t>
            </w:r>
            <w:r w:rsidR="009337C8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r w:rsidRPr="001F49D6">
              <w:rPr>
                <w:rFonts w:ascii="Garamond" w:eastAsia="Myriad Pro" w:hAnsi="Garamond" w:cs="Myriad Pro"/>
                <w:color w:val="231F20"/>
              </w:rPr>
              <w:t>202</w:t>
            </w:r>
            <w:r w:rsidR="00302984">
              <w:rPr>
                <w:rFonts w:ascii="Garamond" w:eastAsia="Myriad Pro" w:hAnsi="Garamond" w:cs="Myriad Pro"/>
                <w:color w:val="231F20"/>
              </w:rPr>
              <w:t>5</w:t>
            </w:r>
            <w:r w:rsidRPr="001F49D6">
              <w:rPr>
                <w:rFonts w:ascii="Garamond" w:eastAsia="Myriad Pro" w:hAnsi="Garamond" w:cs="Myriad Pro"/>
                <w:color w:val="231F20"/>
              </w:rPr>
              <w:t xml:space="preserve">. godine . Povratne informacije bit će pružene putem Izvješća o provedenom savjetovanju koje će se po zaključenju savjetovanja objaviti na </w:t>
            </w:r>
            <w:r w:rsidR="00861C06">
              <w:rPr>
                <w:rFonts w:ascii="Garamond" w:eastAsia="Myriad Pro" w:hAnsi="Garamond" w:cs="Myriad Pro"/>
                <w:color w:val="231F20"/>
              </w:rPr>
              <w:t>Internet</w:t>
            </w:r>
            <w:r w:rsidRPr="001F49D6">
              <w:rPr>
                <w:rFonts w:ascii="Garamond" w:eastAsia="Myriad Pro" w:hAnsi="Garamond" w:cs="Myriad Pro"/>
                <w:color w:val="231F20"/>
              </w:rPr>
              <w:t xml:space="preserve"> stranici kao prilog savjetovanja.</w:t>
            </w:r>
          </w:p>
        </w:tc>
      </w:tr>
      <w:tr w:rsidR="0018120A" w:rsidRPr="002B253A" w14:paraId="04EB5277" w14:textId="77777777" w:rsidTr="0019726C">
        <w:trPr>
          <w:trHeight w:hRule="exact" w:val="1525"/>
        </w:trPr>
        <w:tc>
          <w:tcPr>
            <w:tcW w:w="10211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1EC10CB5" w14:textId="77777777" w:rsidR="0018120A" w:rsidRPr="001F49D6" w:rsidRDefault="0018120A" w:rsidP="00CC0367">
            <w:pPr>
              <w:spacing w:before="37" w:after="0" w:line="260" w:lineRule="exact"/>
              <w:ind w:left="265" w:right="1094" w:hanging="157"/>
              <w:rPr>
                <w:rFonts w:ascii="Garamond" w:eastAsia="Myriad Pro" w:hAnsi="Garamond" w:cs="Myriad Pro"/>
                <w:color w:val="231F20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– im</w:t>
            </w:r>
            <w:r w:rsidRPr="001F49D6">
              <w:rPr>
                <w:rFonts w:ascii="Garamond" w:eastAsia="Myriad Pro" w:hAnsi="Garamond" w:cs="Myriad Pro"/>
                <w:color w:val="231F20"/>
                <w:spacing w:val="-3"/>
              </w:rPr>
              <w:t>e</w:t>
            </w:r>
            <w:r w:rsidRPr="001F49D6">
              <w:rPr>
                <w:rFonts w:ascii="Garamond" w:eastAsia="Myriad Pro" w:hAnsi="Garamond" w:cs="Myriad Pro"/>
                <w:color w:val="231F20"/>
              </w:rPr>
              <w:t>, ad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esa, b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1F49D6">
              <w:rPr>
                <w:rFonts w:ascii="Garamond" w:eastAsia="Myriad Pro" w:hAnsi="Garamond" w:cs="Myriad Pro"/>
                <w:color w:val="231F20"/>
              </w:rPr>
              <w:t xml:space="preserve">oj 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ele</w:t>
            </w:r>
            <w:r w:rsidRPr="001F49D6">
              <w:rPr>
                <w:rFonts w:ascii="Garamond" w:eastAsia="Myriad Pro" w:hAnsi="Garamond" w:cs="Myriad Pro"/>
                <w:color w:val="231F20"/>
                <w:spacing w:val="-3"/>
              </w:rPr>
              <w:t>f</w:t>
            </w:r>
            <w:r w:rsidRPr="001F49D6">
              <w:rPr>
                <w:rFonts w:ascii="Garamond" w:eastAsia="Myriad Pro" w:hAnsi="Garamond" w:cs="Myriad Pro"/>
                <w:color w:val="231F20"/>
              </w:rPr>
              <w:t xml:space="preserve">ona i </w:t>
            </w:r>
            <w:r w:rsidRPr="001F49D6">
              <w:rPr>
                <w:rFonts w:ascii="Garamond" w:eastAsia="Myriad Pro" w:hAnsi="Garamond" w:cs="Myriad Pro"/>
                <w:color w:val="231F20"/>
                <w:spacing w:val="6"/>
              </w:rPr>
              <w:t>e</w:t>
            </w:r>
            <w:r w:rsidRPr="001F49D6">
              <w:rPr>
                <w:rFonts w:ascii="Garamond" w:eastAsia="Myriad Pro" w:hAnsi="Garamond" w:cs="Myriad Pro"/>
                <w:color w:val="231F20"/>
              </w:rPr>
              <w:t>-mail ad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esa osobe kojoj se sudionici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anja mogu obratiti za dodatne upi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</w:rPr>
              <w:t xml:space="preserve">e: Za sve dodatne upite, sudionici savjetovanja mogu se obratiti </w:t>
            </w:r>
            <w:r w:rsidR="001F49D6" w:rsidRPr="001F49D6">
              <w:rPr>
                <w:rFonts w:ascii="Garamond" w:eastAsia="Myriad Pro" w:hAnsi="Garamond" w:cs="Myriad Pro"/>
                <w:color w:val="231F20"/>
              </w:rPr>
              <w:t xml:space="preserve">službenici </w:t>
            </w:r>
            <w:r w:rsidR="003150A0">
              <w:rPr>
                <w:rFonts w:ascii="Garamond" w:eastAsia="Myriad Pro" w:hAnsi="Garamond" w:cs="Myriad Pro"/>
                <w:color w:val="231F20"/>
              </w:rPr>
              <w:t>Maji Nikšić</w:t>
            </w:r>
            <w:r w:rsidRPr="001F49D6">
              <w:rPr>
                <w:rFonts w:ascii="Garamond" w:eastAsia="Myriad Pro" w:hAnsi="Garamond" w:cs="Myriad Pro"/>
                <w:color w:val="231F20"/>
              </w:rPr>
              <w:t xml:space="preserve">, </w:t>
            </w:r>
            <w:r w:rsidR="003150A0">
              <w:rPr>
                <w:rFonts w:ascii="Garamond" w:eastAsia="Myriad Pro" w:hAnsi="Garamond" w:cs="Myriad Pro"/>
                <w:color w:val="231F20"/>
              </w:rPr>
              <w:t>referent za komunalno gospodarstvo i pomorski redar</w:t>
            </w:r>
            <w:r w:rsidRPr="001F49D6">
              <w:rPr>
                <w:rFonts w:ascii="Garamond" w:eastAsia="Myriad Pro" w:hAnsi="Garamond" w:cs="Myriad Pro"/>
                <w:color w:val="231F20"/>
              </w:rPr>
              <w:t xml:space="preserve">, pismeno na adresu Općine Punat, Novi put 2, 51521 Punat ili putem elektronske pošte na e-mail adresu: </w:t>
            </w:r>
            <w:hyperlink r:id="rId6" w:history="1">
              <w:r w:rsidR="001F49D6" w:rsidRPr="001F49D6">
                <w:rPr>
                  <w:rStyle w:val="Hiperveza"/>
                  <w:rFonts w:ascii="Garamond" w:eastAsia="Myriad Pro" w:hAnsi="Garamond" w:cs="Myriad Pro"/>
                </w:rPr>
                <w:t>pisarnica@punat.hr</w:t>
              </w:r>
            </w:hyperlink>
            <w:r w:rsidRPr="001F49D6">
              <w:rPr>
                <w:rFonts w:ascii="Garamond" w:eastAsia="Myriad Pro" w:hAnsi="Garamond" w:cs="Myriad Pro"/>
              </w:rPr>
              <w:t xml:space="preserve"> </w:t>
            </w:r>
          </w:p>
          <w:p w14:paraId="6F11475B" w14:textId="77777777" w:rsidR="0018120A" w:rsidRPr="001F49D6" w:rsidRDefault="0018120A" w:rsidP="00CC0367">
            <w:pPr>
              <w:spacing w:before="37" w:after="0" w:line="260" w:lineRule="exact"/>
              <w:ind w:left="265" w:right="1094" w:hanging="157"/>
              <w:rPr>
                <w:rFonts w:ascii="Garamond" w:eastAsia="Myriad Pro" w:hAnsi="Garamond" w:cs="Myriad Pro"/>
              </w:rPr>
            </w:pPr>
          </w:p>
        </w:tc>
      </w:tr>
      <w:tr w:rsidR="0018120A" w:rsidRPr="002B253A" w14:paraId="4607210B" w14:textId="77777777" w:rsidTr="0019726C">
        <w:trPr>
          <w:trHeight w:hRule="exact" w:val="1434"/>
        </w:trPr>
        <w:tc>
          <w:tcPr>
            <w:tcW w:w="10211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52C761FE" w14:textId="77777777" w:rsidR="0018120A" w:rsidRPr="001F49D6" w:rsidRDefault="0018120A" w:rsidP="00CC0367">
            <w:pPr>
              <w:spacing w:before="37" w:after="0" w:line="260" w:lineRule="exact"/>
              <w:ind w:left="265" w:right="1050" w:hanging="157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lastRenderedPageBreak/>
              <w:t>– zahtjev onima koji sudjeluju u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anju:  Molimo sve sudionike u savjetovanju da navedu svoje ime i prezime, u čije ime daju mišljenje, odnosno koga predstavljaju te da li su koga posebno dodatno konzultirali – sukladno propisima o zaštiti osobnih podataka isti će biti objavljeni isključivo ukoliko sudionik u savjetovanju tako navede na obrascu za sudjelovanje, odnosno da svoju privolu.</w:t>
            </w:r>
          </w:p>
        </w:tc>
      </w:tr>
      <w:tr w:rsidR="0018120A" w:rsidRPr="002B253A" w14:paraId="74AE2A7F" w14:textId="77777777" w:rsidTr="0019726C">
        <w:trPr>
          <w:trHeight w:hRule="exact" w:val="853"/>
        </w:trPr>
        <w:tc>
          <w:tcPr>
            <w:tcW w:w="10211" w:type="dxa"/>
            <w:gridSpan w:val="2"/>
            <w:tcBorders>
              <w:top w:val="single" w:sz="6" w:space="0" w:color="231F20"/>
              <w:bottom w:val="single" w:sz="4" w:space="0" w:color="231F20"/>
            </w:tcBorders>
            <w:shd w:val="clear" w:color="auto" w:fill="D5DCE4" w:themeFill="text2" w:themeFillTint="33"/>
          </w:tcPr>
          <w:p w14:paraId="1A8B7FAF" w14:textId="77777777" w:rsidR="0018120A" w:rsidRPr="001F49D6" w:rsidRDefault="0018120A" w:rsidP="00CC0367">
            <w:pPr>
              <w:spacing w:before="37" w:after="0" w:line="260" w:lineRule="exact"/>
              <w:ind w:left="265" w:right="598" w:hanging="157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– dostupnost odgovora: Odg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ov</w:t>
            </w:r>
            <w:r w:rsidRPr="001F49D6">
              <w:rPr>
                <w:rFonts w:ascii="Garamond" w:eastAsia="Myriad Pro" w:hAnsi="Garamond" w:cs="Myriad Pro"/>
                <w:color w:val="231F20"/>
              </w:rPr>
              <w:t xml:space="preserve">ori će biti dostupni na službenoj web stranici Općine Punat u sklopu Izvješća o provedenom savjetovanju, osim </w:t>
            </w:r>
            <w:r w:rsidRPr="001F49D6">
              <w:rPr>
                <w:rFonts w:ascii="Garamond" w:eastAsia="Myriad Pro" w:hAnsi="Garamond" w:cs="Myriad Pro"/>
                <w:color w:val="231F20"/>
                <w:spacing w:val="4"/>
              </w:rPr>
              <w:t>k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ada je onaj koji je poslao odg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or tražio da podaci ostanu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vjerljivi</w:t>
            </w:r>
          </w:p>
        </w:tc>
      </w:tr>
      <w:tr w:rsidR="0018120A" w:rsidRPr="002B253A" w14:paraId="3E23C38F" w14:textId="77777777" w:rsidTr="0019726C">
        <w:trPr>
          <w:trHeight w:hRule="exact" w:val="639"/>
        </w:trPr>
        <w:tc>
          <w:tcPr>
            <w:tcW w:w="1021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58A146BE" w14:textId="77777777" w:rsidR="0018120A" w:rsidRPr="001F49D6" w:rsidRDefault="0018120A" w:rsidP="00CC0367">
            <w:pPr>
              <w:spacing w:before="37" w:after="0" w:line="260" w:lineRule="exact"/>
              <w:ind w:left="265" w:right="1154" w:hanging="157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–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</w:rPr>
              <w:t>zivaju se sudionici savjetovanja na dost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vu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vratnih in</w:t>
            </w:r>
            <w:r w:rsidRPr="001F49D6">
              <w:rPr>
                <w:rFonts w:ascii="Garamond" w:eastAsia="Myriad Pro" w:hAnsi="Garamond" w:cs="Myriad Pro"/>
                <w:color w:val="231F20"/>
                <w:spacing w:val="-3"/>
              </w:rPr>
              <w:t>f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ormacija o samom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c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esu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 xml:space="preserve">anja 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 prijedloga za poboljšanje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anja u budućnosti. Hvala!</w:t>
            </w:r>
          </w:p>
        </w:tc>
      </w:tr>
    </w:tbl>
    <w:p w14:paraId="7D122B4C" w14:textId="77777777" w:rsidR="0018120A" w:rsidRPr="002B253A" w:rsidRDefault="0018120A" w:rsidP="0018120A">
      <w:pPr>
        <w:spacing w:before="7" w:after="0" w:line="120" w:lineRule="exact"/>
        <w:rPr>
          <w:rFonts w:ascii="Garamond" w:hAnsi="Garamond"/>
          <w:sz w:val="24"/>
          <w:szCs w:val="24"/>
        </w:rPr>
      </w:pPr>
    </w:p>
    <w:p w14:paraId="3D140775" w14:textId="77777777" w:rsidR="0018120A" w:rsidRPr="002B253A" w:rsidRDefault="0018120A" w:rsidP="0018120A">
      <w:pPr>
        <w:rPr>
          <w:rFonts w:ascii="Garamond" w:hAnsi="Garamond"/>
          <w:sz w:val="24"/>
          <w:szCs w:val="24"/>
        </w:rPr>
      </w:pPr>
    </w:p>
    <w:p w14:paraId="446EEF4B" w14:textId="77777777" w:rsidR="0018120A" w:rsidRDefault="0018120A" w:rsidP="0018120A"/>
    <w:p w14:paraId="6EDED747" w14:textId="77777777" w:rsidR="004809EA" w:rsidRDefault="004809EA"/>
    <w:sectPr w:rsidR="004809EA" w:rsidSect="00B71000">
      <w:footerReference w:type="default" r:id="rId7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C07CF" w14:textId="77777777" w:rsidR="00A621C4" w:rsidRDefault="00A621C4">
      <w:pPr>
        <w:spacing w:after="0" w:line="240" w:lineRule="auto"/>
      </w:pPr>
      <w:r>
        <w:separator/>
      </w:r>
    </w:p>
  </w:endnote>
  <w:endnote w:type="continuationSeparator" w:id="0">
    <w:p w14:paraId="4031D87A" w14:textId="77777777" w:rsidR="00A621C4" w:rsidRDefault="00A6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D3E32" w14:textId="77777777" w:rsidR="004809EA" w:rsidRDefault="00000000">
    <w:pPr>
      <w:spacing w:after="0" w:line="200" w:lineRule="exact"/>
      <w:rPr>
        <w:sz w:val="20"/>
        <w:szCs w:val="20"/>
      </w:rPr>
    </w:pPr>
    <w:r>
      <w:rPr>
        <w:noProof/>
        <w:lang w:eastAsia="hr-HR"/>
      </w:rPr>
      <w:pict w14:anchorId="6BAB486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55.7pt;margin-top:798pt;width:12.2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<v:textbox inset="0,0,0,0">
            <w:txbxContent>
              <w:p w14:paraId="25060145" w14:textId="77777777" w:rsidR="004809EA" w:rsidRDefault="004809EA">
                <w:pPr>
                  <w:spacing w:after="0" w:line="228" w:lineRule="exact"/>
                  <w:ind w:left="20" w:right="-50"/>
                  <w:rPr>
                    <w:rFonts w:ascii="Myriad Pro" w:eastAsia="Myriad Pro" w:hAnsi="Myriad Pro" w:cs="Myriad Pro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9BADB" w14:textId="77777777" w:rsidR="00A621C4" w:rsidRDefault="00A621C4">
      <w:pPr>
        <w:spacing w:after="0" w:line="240" w:lineRule="auto"/>
      </w:pPr>
      <w:r>
        <w:separator/>
      </w:r>
    </w:p>
  </w:footnote>
  <w:footnote w:type="continuationSeparator" w:id="0">
    <w:p w14:paraId="607BFB14" w14:textId="77777777" w:rsidR="00A621C4" w:rsidRDefault="00A621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20A"/>
    <w:rsid w:val="00015084"/>
    <w:rsid w:val="000461AE"/>
    <w:rsid w:val="00055ECB"/>
    <w:rsid w:val="000D120F"/>
    <w:rsid w:val="0010378C"/>
    <w:rsid w:val="0018120A"/>
    <w:rsid w:val="0019726C"/>
    <w:rsid w:val="001E0D36"/>
    <w:rsid w:val="001F49D6"/>
    <w:rsid w:val="001F64BF"/>
    <w:rsid w:val="00267C99"/>
    <w:rsid w:val="002B4F32"/>
    <w:rsid w:val="002D0E7D"/>
    <w:rsid w:val="00302984"/>
    <w:rsid w:val="003150A0"/>
    <w:rsid w:val="003D2ADC"/>
    <w:rsid w:val="00474A9A"/>
    <w:rsid w:val="004809EA"/>
    <w:rsid w:val="0049706D"/>
    <w:rsid w:val="004A079F"/>
    <w:rsid w:val="005035DB"/>
    <w:rsid w:val="00510A0C"/>
    <w:rsid w:val="00540E59"/>
    <w:rsid w:val="00582B42"/>
    <w:rsid w:val="005838DA"/>
    <w:rsid w:val="00605E05"/>
    <w:rsid w:val="007322AC"/>
    <w:rsid w:val="00757BED"/>
    <w:rsid w:val="007A44F2"/>
    <w:rsid w:val="007F4BD6"/>
    <w:rsid w:val="00801B04"/>
    <w:rsid w:val="00861C06"/>
    <w:rsid w:val="0086741C"/>
    <w:rsid w:val="008C19C8"/>
    <w:rsid w:val="009337C8"/>
    <w:rsid w:val="009736EF"/>
    <w:rsid w:val="00976D29"/>
    <w:rsid w:val="009907F2"/>
    <w:rsid w:val="009B7EA5"/>
    <w:rsid w:val="009D188E"/>
    <w:rsid w:val="00A621C4"/>
    <w:rsid w:val="00A64FE2"/>
    <w:rsid w:val="00A70741"/>
    <w:rsid w:val="00AC020E"/>
    <w:rsid w:val="00B472D9"/>
    <w:rsid w:val="00BB69B8"/>
    <w:rsid w:val="00C61879"/>
    <w:rsid w:val="00D94A13"/>
    <w:rsid w:val="00DC14F8"/>
    <w:rsid w:val="00E47095"/>
    <w:rsid w:val="00E5633B"/>
    <w:rsid w:val="00ED57CB"/>
    <w:rsid w:val="00EE2B1A"/>
    <w:rsid w:val="00EE40FA"/>
    <w:rsid w:val="00F93DC3"/>
    <w:rsid w:val="00F95DB5"/>
    <w:rsid w:val="00FC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496FE"/>
  <w15:docId w15:val="{DF8564E1-F512-4428-A74F-4A36BCE6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20A"/>
    <w:pPr>
      <w:widowControl w:val="0"/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8120A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F4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sarnica@punat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 Rimay</dc:creator>
  <cp:lastModifiedBy>Daniel Strčić</cp:lastModifiedBy>
  <cp:revision>7</cp:revision>
  <cp:lastPrinted>2025-07-30T11:21:00Z</cp:lastPrinted>
  <dcterms:created xsi:type="dcterms:W3CDTF">2025-07-30T10:48:00Z</dcterms:created>
  <dcterms:modified xsi:type="dcterms:W3CDTF">2025-08-13T07:04:00Z</dcterms:modified>
</cp:coreProperties>
</file>