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070E7A">
        <w:trPr>
          <w:trHeight w:hRule="exact" w:val="954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1CF78A09" w14:textId="76214259" w:rsidR="00827308" w:rsidRPr="001C3802" w:rsidRDefault="00827308" w:rsidP="00827308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b/>
                <w:bCs/>
                <w:color w:val="231F20"/>
              </w:rPr>
              <w:t>Pravilnik</w:t>
            </w:r>
            <w:r w:rsidR="0018120A" w:rsidRPr="00070E7A">
              <w:rPr>
                <w:rFonts w:ascii="Garamond" w:hAnsi="Garamond"/>
                <w:b/>
                <w:bCs/>
              </w:rPr>
              <w:t xml:space="preserve"> </w:t>
            </w:r>
            <w:r w:rsidR="0018120A"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1F49D6">
              <w:rPr>
                <w:rFonts w:ascii="Garamond" w:hAnsi="Garamond" w:cs="Times New Roman"/>
              </w:rPr>
              <w:t xml:space="preserve"> </w:t>
            </w:r>
            <w:r w:rsidR="00070E7A" w:rsidRPr="00070E7A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  <w:r w:rsidR="00097935" w:rsidRPr="0009793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izmjenama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 xml:space="preserve">i dopunama Pravilnika o </w:t>
            </w:r>
            <w:r w:rsidRPr="00FE7994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provedb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i</w:t>
            </w:r>
            <w:r w:rsidRPr="00FE7994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 xml:space="preserve"> postupaka jednostavne nabave</w:t>
            </w:r>
          </w:p>
          <w:p w14:paraId="3CA33CF0" w14:textId="46E2AEC5" w:rsidR="0018120A" w:rsidRPr="001C3802" w:rsidRDefault="0018120A" w:rsidP="00097935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353618">
        <w:trPr>
          <w:trHeight w:hRule="exact" w:val="214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BE36968" w14:textId="6E3AEFB6" w:rsidR="00827308" w:rsidRDefault="00097935" w:rsidP="0082730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097935">
              <w:rPr>
                <w:rFonts w:ascii="Garamond" w:eastAsia="Myriad Pro" w:hAnsi="Garamond" w:cs="Myriad Pro"/>
              </w:rPr>
              <w:t xml:space="preserve">Općinsko vijeće Općine Punat donijelo je </w:t>
            </w:r>
            <w:r w:rsidR="00827308">
              <w:t xml:space="preserve"> </w:t>
            </w:r>
            <w:r w:rsidR="00827308" w:rsidRPr="00827308">
              <w:rPr>
                <w:rFonts w:ascii="Garamond" w:eastAsia="Myriad Pro" w:hAnsi="Garamond" w:cs="Myriad Pro"/>
              </w:rPr>
              <w:t>Pravilnik o provedbi postupaka jednostavne nabave („Službene novine Primorsko-goranske županije“, broj 16/23)</w:t>
            </w:r>
            <w:r w:rsidR="00827308">
              <w:rPr>
                <w:rFonts w:ascii="Garamond" w:eastAsia="Myriad Pro" w:hAnsi="Garamond" w:cs="Myriad Pro"/>
              </w:rPr>
              <w:t>.</w:t>
            </w:r>
          </w:p>
          <w:p w14:paraId="055815CD" w14:textId="3DF8CE6D" w:rsidR="00827308" w:rsidRPr="001F49D6" w:rsidRDefault="00827308" w:rsidP="0082730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>Ovim izmjenama i dopunama Pravilnika radi bržeg i efikasnijeg provođenja postupaka, pojednostavljuje se postupak nabave čija procijenjena vrijednost je manja od 5.000,00 eura</w:t>
            </w:r>
            <w:r w:rsidR="00353618">
              <w:rPr>
                <w:rFonts w:ascii="Garamond" w:eastAsia="Myriad Pro" w:hAnsi="Garamond" w:cs="Myriad Pro"/>
              </w:rPr>
              <w:t xml:space="preserve">, na način da se više neće trebati izrađivati te ovjeravati interni zahtjev za pokretanje postupka nabave za svaku aktivnost vrijednosti od 0,01€ do 4.999,99€ </w:t>
            </w:r>
          </w:p>
          <w:p w14:paraId="51908771" w14:textId="5CA74F4F" w:rsidR="00AA3418" w:rsidRPr="001F49D6" w:rsidRDefault="00AA3418" w:rsidP="0009793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535DF427" w:rsidR="0018120A" w:rsidRPr="001F49D6" w:rsidRDefault="00827308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1</w:t>
            </w:r>
            <w:r w:rsidR="00353618">
              <w:rPr>
                <w:rFonts w:ascii="Garamond" w:eastAsia="Myriad Pro" w:hAnsi="Garamond" w:cs="Myriad Pro"/>
                <w:color w:val="231F20"/>
              </w:rPr>
              <w:t>3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097935">
              <w:rPr>
                <w:rFonts w:ascii="Garamond" w:eastAsia="Myriad Pro" w:hAnsi="Garamond" w:cs="Myriad Pro"/>
                <w:color w:val="231F20"/>
              </w:rPr>
              <w:t>kolovoza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097935">
        <w:trPr>
          <w:trHeight w:hRule="exact" w:val="77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0F14E695" w:rsidR="0018120A" w:rsidRPr="00EE2B1A" w:rsidRDefault="0018120A" w:rsidP="0009793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anje: Savjetovanje se provodi o </w:t>
            </w:r>
            <w:r w:rsidR="00827308">
              <w:rPr>
                <w:rFonts w:ascii="Garamond" w:eastAsia="Myriad Pro" w:hAnsi="Garamond" w:cs="Myriad Pro"/>
                <w:color w:val="231F20"/>
              </w:rPr>
              <w:t>nacrtu Pravilnika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827308">
              <w:t xml:space="preserve"> </w:t>
            </w:r>
            <w:r w:rsidR="00827308" w:rsidRPr="00827308">
              <w:rPr>
                <w:rFonts w:ascii="Garamond" w:hAnsi="Garamond" w:cs="Times New Roman"/>
              </w:rPr>
              <w:t xml:space="preserve">izmjenama i dopunama Pravilnika o provedbi postupaka jednostavne nabave </w:t>
            </w:r>
            <w:r w:rsidR="00097935" w:rsidRPr="00097935">
              <w:rPr>
                <w:rFonts w:ascii="Garamond" w:hAnsi="Garamond" w:cs="Times New Roman"/>
              </w:rPr>
              <w:t xml:space="preserve"> 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97935">
        <w:trPr>
          <w:trHeight w:hRule="exact" w:val="887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59C2D85B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827308">
              <w:rPr>
                <w:rFonts w:ascii="Garamond" w:eastAsia="Myriad Pro" w:hAnsi="Garamond" w:cs="Myriad Pro"/>
                <w:color w:val="231F20"/>
              </w:rPr>
              <w:t>12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097935">
              <w:rPr>
                <w:rFonts w:ascii="Garamond" w:eastAsia="Myriad Pro" w:hAnsi="Garamond" w:cs="Myriad Pro"/>
                <w:color w:val="231F20"/>
              </w:rPr>
              <w:t>rujna</w:t>
            </w:r>
            <w:r w:rsidR="00E8165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F118" w14:textId="77777777" w:rsidR="00073425" w:rsidRDefault="00073425">
      <w:pPr>
        <w:spacing w:after="0" w:line="240" w:lineRule="auto"/>
      </w:pPr>
      <w:r>
        <w:separator/>
      </w:r>
    </w:p>
  </w:endnote>
  <w:endnote w:type="continuationSeparator" w:id="0">
    <w:p w14:paraId="4292E8D4" w14:textId="77777777" w:rsidR="00073425" w:rsidRDefault="0007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E019" w14:textId="77777777" w:rsidR="00073425" w:rsidRDefault="00073425">
      <w:pPr>
        <w:spacing w:after="0" w:line="240" w:lineRule="auto"/>
      </w:pPr>
      <w:r>
        <w:separator/>
      </w:r>
    </w:p>
  </w:footnote>
  <w:footnote w:type="continuationSeparator" w:id="0">
    <w:p w14:paraId="12261EE4" w14:textId="77777777" w:rsidR="00073425" w:rsidRDefault="00073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70E7A"/>
    <w:rsid w:val="00073425"/>
    <w:rsid w:val="00097935"/>
    <w:rsid w:val="0010378C"/>
    <w:rsid w:val="0018120A"/>
    <w:rsid w:val="001C3802"/>
    <w:rsid w:val="001E0D36"/>
    <w:rsid w:val="001F49D6"/>
    <w:rsid w:val="001F64BF"/>
    <w:rsid w:val="00207F63"/>
    <w:rsid w:val="002120FB"/>
    <w:rsid w:val="00267C99"/>
    <w:rsid w:val="00294943"/>
    <w:rsid w:val="002B4F32"/>
    <w:rsid w:val="002D0E7D"/>
    <w:rsid w:val="003358CC"/>
    <w:rsid w:val="00353618"/>
    <w:rsid w:val="003C6A45"/>
    <w:rsid w:val="004440D5"/>
    <w:rsid w:val="004809EA"/>
    <w:rsid w:val="00510A0C"/>
    <w:rsid w:val="00540E59"/>
    <w:rsid w:val="00582B42"/>
    <w:rsid w:val="005838DA"/>
    <w:rsid w:val="005C77DE"/>
    <w:rsid w:val="006454E9"/>
    <w:rsid w:val="007322AC"/>
    <w:rsid w:val="00757BED"/>
    <w:rsid w:val="007B0AF3"/>
    <w:rsid w:val="00827308"/>
    <w:rsid w:val="008523DA"/>
    <w:rsid w:val="008C19C8"/>
    <w:rsid w:val="009736EF"/>
    <w:rsid w:val="009B7EA5"/>
    <w:rsid w:val="009D188E"/>
    <w:rsid w:val="009D3BAD"/>
    <w:rsid w:val="00A55495"/>
    <w:rsid w:val="00A70741"/>
    <w:rsid w:val="00A825B1"/>
    <w:rsid w:val="00A975C4"/>
    <w:rsid w:val="00AA3418"/>
    <w:rsid w:val="00AB4186"/>
    <w:rsid w:val="00AC020E"/>
    <w:rsid w:val="00B472D9"/>
    <w:rsid w:val="00B61999"/>
    <w:rsid w:val="00B819BA"/>
    <w:rsid w:val="00BB7507"/>
    <w:rsid w:val="00C60C99"/>
    <w:rsid w:val="00CC5000"/>
    <w:rsid w:val="00CD478D"/>
    <w:rsid w:val="00DC14F8"/>
    <w:rsid w:val="00E5633B"/>
    <w:rsid w:val="00E8165E"/>
    <w:rsid w:val="00ED57CB"/>
    <w:rsid w:val="00EE2B1A"/>
    <w:rsid w:val="00EF6D3A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3</cp:revision>
  <dcterms:created xsi:type="dcterms:W3CDTF">2025-08-11T09:11:00Z</dcterms:created>
  <dcterms:modified xsi:type="dcterms:W3CDTF">2025-08-13T11:26:00Z</dcterms:modified>
</cp:coreProperties>
</file>