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B58B" w14:textId="77777777" w:rsidR="0098112A" w:rsidRPr="002B253A" w:rsidRDefault="0098112A" w:rsidP="0098112A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page" w:horzAnchor="margin" w:tblpXSpec="center" w:tblpY="1720"/>
        <w:tblW w:w="103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8505"/>
      </w:tblGrid>
      <w:tr w:rsidR="0098112A" w:rsidRPr="002B253A" w14:paraId="30AC8A6B" w14:textId="77777777" w:rsidTr="00787E07">
        <w:trPr>
          <w:trHeight w:hRule="exact" w:val="609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50D58B5" w14:textId="77777777" w:rsidR="0098112A" w:rsidRPr="002B253A" w:rsidRDefault="0098112A" w:rsidP="003349FD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7C10EEF8" w14:textId="77777777" w:rsidR="0098112A" w:rsidRPr="002B253A" w:rsidRDefault="0098112A" w:rsidP="003349FD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98112A" w:rsidRPr="002B253A" w14:paraId="6B2390F9" w14:textId="77777777" w:rsidTr="00787E07">
        <w:trPr>
          <w:trHeight w:hRule="exact" w:val="816"/>
        </w:trPr>
        <w:tc>
          <w:tcPr>
            <w:tcW w:w="1838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6646FB1E" w14:textId="77777777" w:rsidR="0098112A" w:rsidRPr="002B253A" w:rsidRDefault="0098112A" w:rsidP="003349FD">
            <w:pPr>
              <w:spacing w:after="0" w:line="200" w:lineRule="exact"/>
              <w:rPr>
                <w:rFonts w:ascii="Garamond" w:hAnsi="Garamond"/>
                <w:sz w:val="24"/>
                <w:szCs w:val="24"/>
              </w:rPr>
            </w:pPr>
          </w:p>
          <w:p w14:paraId="00A6ABC6" w14:textId="3510774F" w:rsidR="0098112A" w:rsidRPr="002B253A" w:rsidRDefault="00426D1D" w:rsidP="00426D1D">
            <w:pPr>
              <w:spacing w:after="0" w:line="240" w:lineRule="auto"/>
              <w:ind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98112A"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Nasl</w:t>
            </w:r>
            <w:r w:rsidR="0098112A"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="0098112A"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15186934" w14:textId="77777777" w:rsidR="0098112A" w:rsidRPr="002B253A" w:rsidRDefault="0098112A" w:rsidP="003349FD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</w:pPr>
          </w:p>
          <w:p w14:paraId="6488B20D" w14:textId="1B761EFE" w:rsidR="0098112A" w:rsidRPr="002B253A" w:rsidRDefault="00426D1D" w:rsidP="003349FD">
            <w:pPr>
              <w:spacing w:after="0" w:line="240" w:lineRule="auto"/>
              <w:ind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</w:t>
            </w:r>
            <w:r w:rsidR="0098112A"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Odluka</w:t>
            </w:r>
            <w:r w:rsidR="0098112A">
              <w:t xml:space="preserve"> </w:t>
            </w:r>
            <w:r w:rsidR="0098112A" w:rsidRPr="0098112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 privremenoj zabrani izvođenja radova u 202</w:t>
            </w:r>
            <w:r w:rsidR="00EC17D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6</w:t>
            </w:r>
            <w:r w:rsidR="0098112A" w:rsidRPr="0098112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. godini  </w:t>
            </w:r>
          </w:p>
        </w:tc>
      </w:tr>
      <w:tr w:rsidR="0098112A" w:rsidRPr="002B253A" w14:paraId="55CE6FBB" w14:textId="77777777" w:rsidTr="00787E07">
        <w:trPr>
          <w:trHeight w:hRule="exact" w:val="1141"/>
        </w:trPr>
        <w:tc>
          <w:tcPr>
            <w:tcW w:w="1838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E7D865C" w14:textId="77777777" w:rsidR="0098112A" w:rsidRPr="002B253A" w:rsidRDefault="0098112A" w:rsidP="003349FD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</w:t>
            </w:r>
            <w:r w:rsidRPr="002B253A">
              <w:rPr>
                <w:rFonts w:ascii="Garamond" w:eastAsia="Myriad Pro" w:hAnsi="Garamond" w:cs="Myriad Pro"/>
                <w:color w:val="231F20"/>
                <w:spacing w:val="2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vara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elj dokumenta, tijelo koje p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8505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0985276" w14:textId="77777777" w:rsidR="0098112A" w:rsidRPr="002B253A" w:rsidRDefault="0098112A" w:rsidP="003349FD">
            <w:pPr>
              <w:spacing w:before="16" w:after="0" w:line="280" w:lineRule="exact"/>
              <w:rPr>
                <w:rFonts w:ascii="Garamond" w:hAnsi="Garamond"/>
                <w:sz w:val="24"/>
                <w:szCs w:val="24"/>
              </w:rPr>
            </w:pPr>
          </w:p>
          <w:p w14:paraId="2EA046F2" w14:textId="77777777" w:rsidR="0098112A" w:rsidRPr="002B253A" w:rsidRDefault="0098112A" w:rsidP="003349FD">
            <w:pPr>
              <w:spacing w:after="0" w:line="240" w:lineRule="auto"/>
              <w:ind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 xml:space="preserve"> Općina Punat</w:t>
            </w:r>
          </w:p>
        </w:tc>
      </w:tr>
      <w:tr w:rsidR="0098112A" w:rsidRPr="002B253A" w14:paraId="4AFA929C" w14:textId="77777777" w:rsidTr="00D33EE2">
        <w:trPr>
          <w:trHeight w:hRule="exact" w:val="5216"/>
        </w:trPr>
        <w:tc>
          <w:tcPr>
            <w:tcW w:w="1838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BA12D27" w14:textId="77777777" w:rsidR="0098112A" w:rsidRPr="002B253A" w:rsidRDefault="0098112A" w:rsidP="003349FD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S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8505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3B5C6D5" w14:textId="40CD7082" w:rsidR="0098112A" w:rsidRPr="0098112A" w:rsidRDefault="0098112A" w:rsidP="00D818B4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>Sukladno članku 132. stavk</w:t>
            </w:r>
            <w:r w:rsidR="00426D1D">
              <w:rPr>
                <w:rFonts w:ascii="Garamond" w:eastAsia="Myriad Pro" w:hAnsi="Garamond" w:cs="Myriad Pro"/>
                <w:sz w:val="24"/>
                <w:szCs w:val="24"/>
              </w:rPr>
              <w:t>u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 xml:space="preserve"> 1. Zakona o gradnji („Narodne novine“</w:t>
            </w:r>
            <w:r w:rsidR="00426D1D">
              <w:rPr>
                <w:rFonts w:ascii="Garamond" w:eastAsia="Myriad Pro" w:hAnsi="Garamond" w:cs="Myriad Pro"/>
                <w:sz w:val="24"/>
                <w:szCs w:val="24"/>
              </w:rPr>
              <w:t xml:space="preserve"> broj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 xml:space="preserve"> 153/13, 20/17, 39/19</w:t>
            </w:r>
            <w:r w:rsidR="00EC17DA">
              <w:rPr>
                <w:rFonts w:ascii="Garamond" w:eastAsia="Myriad Pro" w:hAnsi="Garamond" w:cs="Myriad Pro"/>
                <w:sz w:val="24"/>
                <w:szCs w:val="24"/>
              </w:rPr>
              <w:t xml:space="preserve">, 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>125/19</w:t>
            </w:r>
            <w:r w:rsidR="00EC17DA">
              <w:rPr>
                <w:rFonts w:ascii="Garamond" w:eastAsia="Myriad Pro" w:hAnsi="Garamond" w:cs="Myriad Pro"/>
                <w:sz w:val="24"/>
                <w:szCs w:val="24"/>
              </w:rPr>
              <w:t xml:space="preserve"> i 145/24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>) predstavničko tijelo jedinice lokalne samouprave po prethodno pribavljenom mišljenju turističke zajednice općine može odlukom za određene vrste građevina, na određenim područjima, odrediti razdoblje iduće kalendarske godine i vrijeme u kojemu se ne mogu izvoditi zemljani radovi i radovi na izgradnji konstrukcije građevine.  Stavak 2. istog članka propisuje da se odluka ne odnosi na:</w:t>
            </w:r>
            <w:r w:rsid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>1. građevine, odnosno radove za čije je građenje, odnosno izvođenje utvrđen interes Republike Hrvatske,</w:t>
            </w:r>
            <w:r w:rsid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 xml:space="preserve">2. uklanjanje građevina na temelju rješenja građevinske inspekcije ili odluke drugog tijela državne vlasti, 3. građenje građevina, odnosno izvođenje radova u godini u kojoj je odluka stupila na snagu. </w:t>
            </w:r>
          </w:p>
          <w:p w14:paraId="30B7C4DE" w14:textId="0C93F979" w:rsidR="0098112A" w:rsidRDefault="0098112A" w:rsidP="00D818B4">
            <w:pPr>
              <w:spacing w:before="35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>Ovom odlukom predlaže se zabrana izvođenje zemljanih radova i radova na izgradnji konstrukcije građevine na području Općine Punat u zonama koje su definirane Prostornim planom uređenja Općine Punat (UPU1, UPU2, UPU3, UPU4, UPU6, UPU8</w:t>
            </w:r>
            <w:r w:rsidR="00F32D84">
              <w:rPr>
                <w:rFonts w:ascii="Garamond" w:eastAsia="Myriad Pro" w:hAnsi="Garamond" w:cs="Myriad Pro"/>
                <w:sz w:val="24"/>
                <w:szCs w:val="24"/>
              </w:rPr>
              <w:t xml:space="preserve">, 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>UPU9</w:t>
            </w:r>
            <w:r w:rsidR="00F32D84">
              <w:rPr>
                <w:rFonts w:ascii="Garamond" w:eastAsia="Myriad Pro" w:hAnsi="Garamond" w:cs="Myriad Pro"/>
                <w:sz w:val="24"/>
                <w:szCs w:val="24"/>
              </w:rPr>
              <w:t xml:space="preserve"> i </w:t>
            </w:r>
            <w:r w:rsidR="00F32D84">
              <w:t xml:space="preserve"> </w:t>
            </w:r>
            <w:r w:rsidR="00F32D84" w:rsidRPr="00F32D84">
              <w:rPr>
                <w:rFonts w:ascii="Garamond" w:eastAsia="Myriad Pro" w:hAnsi="Garamond" w:cs="Myriad Pro"/>
                <w:sz w:val="24"/>
                <w:szCs w:val="24"/>
              </w:rPr>
              <w:t>ostala područja koja su udaljena manje od 100 metara od granica područja zona iz prethodnih točaka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>) i to u razdoblju od 1. lipnja do 15. rujna 202</w:t>
            </w:r>
            <w:r w:rsidR="00EC17DA">
              <w:rPr>
                <w:rFonts w:ascii="Garamond" w:eastAsia="Myriad Pro" w:hAnsi="Garamond" w:cs="Myriad Pro"/>
                <w:sz w:val="24"/>
                <w:szCs w:val="24"/>
              </w:rPr>
              <w:t>6</w:t>
            </w:r>
            <w:r w:rsidRPr="0098112A">
              <w:rPr>
                <w:rFonts w:ascii="Garamond" w:eastAsia="Myriad Pro" w:hAnsi="Garamond" w:cs="Myriad Pro"/>
                <w:sz w:val="24"/>
                <w:szCs w:val="24"/>
              </w:rPr>
              <w:t>. godine, u vremenu od 0,00 do 24,00 sata</w:t>
            </w:r>
            <w:r w:rsidRPr="00D33EE2">
              <w:rPr>
                <w:rFonts w:ascii="Garamond" w:eastAsia="Myriad Pro" w:hAnsi="Garamond" w:cs="Myriad Pro"/>
                <w:sz w:val="24"/>
                <w:szCs w:val="24"/>
              </w:rPr>
              <w:t>. Ovom Odlukom</w:t>
            </w:r>
            <w:r w:rsidR="00EC17DA"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osim iznimki propisanih zakonom, iznimno se</w:t>
            </w:r>
            <w:r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predlaže dopustiti</w:t>
            </w:r>
            <w:r w:rsidR="00EF7F13"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nužne zemljane radove i radove na izgradnji konstrukcije</w:t>
            </w:r>
            <w:r w:rsidR="00D33EE2"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r w:rsidR="00EF7F13"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građevin</w:t>
            </w:r>
            <w:r w:rsidR="00D33EE2">
              <w:rPr>
                <w:rFonts w:ascii="Garamond" w:eastAsia="Myriad Pro" w:hAnsi="Garamond" w:cs="Myriad Pro"/>
                <w:sz w:val="24"/>
                <w:szCs w:val="24"/>
              </w:rPr>
              <w:t>e</w:t>
            </w:r>
            <w:r w:rsidR="00EF7F13"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kada zbog oštećenja </w:t>
            </w:r>
            <w:r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r w:rsidR="00EF7F13"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postoji opasnost za život i zdravlje </w:t>
            </w:r>
            <w:r w:rsidR="00D33EE2"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ljudi te imovinu veće vrijednosti i koje se financiraju iz nacionalnih ili </w:t>
            </w:r>
            <w:r w:rsidR="00D86F9C">
              <w:rPr>
                <w:rFonts w:ascii="Garamond" w:eastAsia="Myriad Pro" w:hAnsi="Garamond" w:cs="Myriad Pro"/>
                <w:sz w:val="24"/>
                <w:szCs w:val="24"/>
              </w:rPr>
              <w:t>E</w:t>
            </w:r>
            <w:r w:rsidR="00D33EE2"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U fondova. </w:t>
            </w:r>
            <w:r w:rsidRPr="00D33EE2"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</w:p>
          <w:p w14:paraId="782C7B4A" w14:textId="77777777" w:rsidR="00EF7F13" w:rsidRDefault="00EF7F13" w:rsidP="00D818B4">
            <w:pPr>
              <w:spacing w:before="35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  <w:p w14:paraId="7D57C757" w14:textId="77777777" w:rsidR="00EF7F13" w:rsidRDefault="00EF7F13" w:rsidP="00D818B4">
            <w:pPr>
              <w:spacing w:before="35" w:after="0" w:line="240" w:lineRule="auto"/>
              <w:ind w:right="-20"/>
              <w:rPr>
                <w:rFonts w:ascii="Garamond" w:hAnsi="Garamond"/>
                <w:sz w:val="24"/>
                <w:szCs w:val="24"/>
              </w:rPr>
            </w:pPr>
          </w:p>
          <w:p w14:paraId="214E114E" w14:textId="6A349E3F" w:rsidR="00EF7F13" w:rsidRPr="002B253A" w:rsidRDefault="00EF7F13" w:rsidP="00D818B4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4"/>
                <w:szCs w:val="24"/>
              </w:rPr>
            </w:pPr>
          </w:p>
        </w:tc>
      </w:tr>
      <w:tr w:rsidR="0098112A" w:rsidRPr="002B253A" w14:paraId="78CC1487" w14:textId="77777777" w:rsidTr="00787E07">
        <w:trPr>
          <w:trHeight w:hRule="exact" w:val="360"/>
        </w:trPr>
        <w:tc>
          <w:tcPr>
            <w:tcW w:w="1838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9D74A22" w14:textId="77777777" w:rsidR="0098112A" w:rsidRPr="002B253A" w:rsidRDefault="0098112A" w:rsidP="003349FD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8505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2343BD90" w14:textId="1AF50713" w:rsidR="0098112A" w:rsidRPr="002B253A" w:rsidRDefault="007A26FB" w:rsidP="009844A5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8</w:t>
            </w:r>
            <w:r w:rsidR="0098112A"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. </w:t>
            </w:r>
            <w:r w:rsidR="00942236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listopada</w:t>
            </w:r>
            <w:r w:rsidR="0098112A"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20</w:t>
            </w:r>
            <w:r w:rsidR="0098112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2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5</w:t>
            </w:r>
            <w:r w:rsidR="0098112A"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 godine</w:t>
            </w:r>
          </w:p>
        </w:tc>
      </w:tr>
      <w:tr w:rsidR="0098112A" w:rsidRPr="002B253A" w14:paraId="19F91023" w14:textId="77777777" w:rsidTr="00787E07">
        <w:trPr>
          <w:trHeight w:hRule="exact" w:val="636"/>
        </w:trPr>
        <w:tc>
          <w:tcPr>
            <w:tcW w:w="1034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83C695E" w14:textId="6BFAFF8D" w:rsidR="0098112A" w:rsidRPr="002B253A" w:rsidRDefault="0098112A" w:rsidP="003349FD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opis 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em</w:t>
            </w:r>
            <w:r w:rsidRPr="002B253A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prijedloga ili p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oblema o kojemu se p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anje: Savjetovanje se provodi o prijedlogu Odluke o</w:t>
            </w:r>
            <w:r>
              <w:t xml:space="preserve"> </w:t>
            </w:r>
            <w:r w:rsidR="00942236">
              <w:t xml:space="preserve"> </w:t>
            </w:r>
            <w:r w:rsidR="00942236" w:rsidRPr="00942236">
              <w:rPr>
                <w:rFonts w:ascii="Garamond" w:hAnsi="Garamond"/>
                <w:sz w:val="24"/>
                <w:szCs w:val="24"/>
              </w:rPr>
              <w:t>privremenoj zabrani izvođenja radova u 202</w:t>
            </w:r>
            <w:r w:rsidR="00D33EE2">
              <w:rPr>
                <w:rFonts w:ascii="Garamond" w:hAnsi="Garamond"/>
                <w:sz w:val="24"/>
                <w:szCs w:val="24"/>
              </w:rPr>
              <w:t>6</w:t>
            </w:r>
            <w:r w:rsidR="00942236" w:rsidRPr="00942236">
              <w:rPr>
                <w:rFonts w:ascii="Garamond" w:hAnsi="Garamond"/>
                <w:sz w:val="24"/>
                <w:szCs w:val="24"/>
              </w:rPr>
              <w:t>. godini</w:t>
            </w:r>
            <w:r w:rsidR="00942236" w:rsidRPr="00942236">
              <w:t xml:space="preserve">  </w:t>
            </w:r>
          </w:p>
          <w:p w14:paraId="50A30B65" w14:textId="77777777" w:rsidR="0098112A" w:rsidRPr="002B253A" w:rsidRDefault="0098112A" w:rsidP="003349FD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</w:p>
        </w:tc>
      </w:tr>
      <w:tr w:rsidR="0098112A" w:rsidRPr="002B253A" w14:paraId="54213296" w14:textId="77777777" w:rsidTr="00787E07">
        <w:trPr>
          <w:trHeight w:hRule="exact" w:val="903"/>
        </w:trPr>
        <w:tc>
          <w:tcPr>
            <w:tcW w:w="1034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2ECDE84" w14:textId="77777777" w:rsidR="0098112A" w:rsidRPr="002B253A" w:rsidRDefault="0098112A" w:rsidP="003349FD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svrha s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i cilj koji bi se prijedlogom 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98112A" w:rsidRPr="002B253A" w14:paraId="1594D235" w14:textId="77777777" w:rsidTr="00787E07">
        <w:trPr>
          <w:trHeight w:hRule="exact" w:val="650"/>
        </w:trPr>
        <w:tc>
          <w:tcPr>
            <w:tcW w:w="1034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89E8D06" w14:textId="77777777" w:rsidR="0098112A" w:rsidRPr="002B253A" w:rsidRDefault="0098112A" w:rsidP="003349FD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me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oda s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anja: Savjetovanje se provodi javnom objavom na web stranici Općine Punat putem priloženog obrasca za sudjelovanje u savjetovanju.</w:t>
            </w:r>
          </w:p>
        </w:tc>
      </w:tr>
      <w:tr w:rsidR="0098112A" w:rsidRPr="002B253A" w14:paraId="04E57F71" w14:textId="77777777" w:rsidTr="009844A5">
        <w:trPr>
          <w:trHeight w:hRule="exact" w:val="851"/>
        </w:trPr>
        <w:tc>
          <w:tcPr>
            <w:tcW w:w="1034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951097C" w14:textId="48D3BF16" w:rsidR="0098112A" w:rsidRPr="002B253A" w:rsidRDefault="0098112A" w:rsidP="003349FD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ok zaprimanja odg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ora i način na koji 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ć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biti pru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ena p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vratna in</w:t>
            </w:r>
            <w:r w:rsidRPr="002B253A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ormacija: Savjetovanje je otvoreno do </w:t>
            </w:r>
            <w:r w:rsidR="00D33EE2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7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. </w:t>
            </w:r>
            <w:r w:rsidR="00942236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studenog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20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2</w:t>
            </w:r>
            <w:r w:rsidR="00D33EE2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5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 godine . Povratne informacije bit će pružene putem Izvješća o provedenom savjetovanju koje će se po zaključenju savjetovanja objaviti na web stranici kao prilog savjetovanja.</w:t>
            </w:r>
          </w:p>
        </w:tc>
      </w:tr>
      <w:tr w:rsidR="0098112A" w:rsidRPr="002B253A" w14:paraId="46A0C92C" w14:textId="77777777" w:rsidTr="0037120E">
        <w:trPr>
          <w:trHeight w:hRule="exact" w:val="697"/>
        </w:trPr>
        <w:tc>
          <w:tcPr>
            <w:tcW w:w="1034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2A15F341" w14:textId="77777777" w:rsidR="0037120E" w:rsidRPr="0037120E" w:rsidRDefault="0098112A" w:rsidP="0037120E">
            <w:pPr>
              <w:spacing w:before="37" w:after="0" w:line="260" w:lineRule="exact"/>
              <w:ind w:left="265" w:right="1094" w:hanging="157"/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</w:t>
            </w:r>
            <w:r w:rsidR="0037120E" w:rsidRPr="0037120E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Za sve dodatne upite, sudionici savjetovanja mogu se obratiti pismeno na adresu Općine Punat, Novi put 2, 51521 Punat ili putem elektronske pošte na e-mail adresu: </w:t>
            </w:r>
            <w:hyperlink r:id="rId6" w:history="1">
              <w:r w:rsidR="0037120E" w:rsidRPr="0037120E">
                <w:rPr>
                  <w:rStyle w:val="Hiperveza"/>
                  <w:rFonts w:ascii="Garamond" w:eastAsia="Myriad Pro" w:hAnsi="Garamond" w:cs="Myriad Pro"/>
                  <w:sz w:val="24"/>
                  <w:szCs w:val="24"/>
                </w:rPr>
                <w:t>opcina@punat.hr</w:t>
              </w:r>
            </w:hyperlink>
          </w:p>
          <w:p w14:paraId="7356B7A9" w14:textId="2721D8D6" w:rsidR="0098112A" w:rsidRPr="002B253A" w:rsidRDefault="0098112A" w:rsidP="003349FD">
            <w:pPr>
              <w:spacing w:before="37" w:after="0" w:line="260" w:lineRule="exact"/>
              <w:ind w:left="265" w:right="1094" w:hanging="157"/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</w:pPr>
          </w:p>
          <w:p w14:paraId="60D0D5A3" w14:textId="77777777" w:rsidR="0098112A" w:rsidRPr="002B253A" w:rsidRDefault="0098112A" w:rsidP="003349FD">
            <w:pPr>
              <w:spacing w:before="37" w:after="0" w:line="260" w:lineRule="exact"/>
              <w:ind w:left="265" w:right="1094" w:hanging="157"/>
              <w:rPr>
                <w:rFonts w:ascii="Garamond" w:eastAsia="Myriad Pro" w:hAnsi="Garamond" w:cs="Myriad Pro"/>
                <w:sz w:val="24"/>
                <w:szCs w:val="24"/>
              </w:rPr>
            </w:pPr>
          </w:p>
        </w:tc>
      </w:tr>
      <w:tr w:rsidR="0098112A" w:rsidRPr="002B253A" w14:paraId="740FA989" w14:textId="77777777" w:rsidTr="00787E07">
        <w:trPr>
          <w:trHeight w:hRule="exact" w:val="1434"/>
        </w:trPr>
        <w:tc>
          <w:tcPr>
            <w:tcW w:w="1034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21527999" w14:textId="77777777" w:rsidR="0098112A" w:rsidRPr="002B253A" w:rsidRDefault="0098112A" w:rsidP="00787E07">
            <w:pPr>
              <w:spacing w:before="37" w:after="0" w:line="260" w:lineRule="exact"/>
              <w:ind w:left="265" w:right="1050" w:hanging="157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zahtjev onima koji sudjeluju u s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98112A" w:rsidRPr="002B253A" w14:paraId="378EFD60" w14:textId="77777777" w:rsidTr="00787E07">
        <w:trPr>
          <w:trHeight w:hRule="exact" w:val="849"/>
        </w:trPr>
        <w:tc>
          <w:tcPr>
            <w:tcW w:w="10343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D5DCE4" w:themeFill="text2" w:themeFillTint="33"/>
          </w:tcPr>
          <w:p w14:paraId="17E7ED80" w14:textId="77777777" w:rsidR="0098112A" w:rsidRPr="002B253A" w:rsidRDefault="0098112A" w:rsidP="003349FD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dostupnost odgovora: Odg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ori će biti dostupni na službenoj web stranici Općine Punat u sklopu Izvješća o provedenom savjetovanju, osim </w:t>
            </w:r>
            <w:r w:rsidRPr="002B253A">
              <w:rPr>
                <w:rFonts w:ascii="Garamond" w:eastAsia="Myriad Pro" w:hAnsi="Garamond" w:cs="Myriad Pro"/>
                <w:color w:val="231F20"/>
                <w:spacing w:val="4"/>
                <w:sz w:val="24"/>
                <w:szCs w:val="24"/>
              </w:rPr>
              <w:t>k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ada je onaj koji je poslao odg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 tražio da podaci ostanu p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vjerljivi</w:t>
            </w:r>
          </w:p>
        </w:tc>
      </w:tr>
      <w:tr w:rsidR="0098112A" w:rsidRPr="002B253A" w14:paraId="6FB569A9" w14:textId="77777777" w:rsidTr="00787E07">
        <w:trPr>
          <w:trHeight w:hRule="exact" w:val="639"/>
        </w:trPr>
        <w:tc>
          <w:tcPr>
            <w:tcW w:w="103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14:paraId="039B165C" w14:textId="77777777" w:rsidR="0098112A" w:rsidRPr="002B253A" w:rsidRDefault="0098112A" w:rsidP="003349FD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lastRenderedPageBreak/>
              <w:t>– p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zivaju se sudionici savjetovanja na dost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vu p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vratnih in</w:t>
            </w:r>
            <w:r w:rsidRPr="002B253A"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 o samom p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c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esu s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prijedloga za poboljšanje s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u budućnosti. Hvala!</w:t>
            </w:r>
          </w:p>
        </w:tc>
      </w:tr>
    </w:tbl>
    <w:p w14:paraId="1DA378F9" w14:textId="77777777" w:rsidR="0098112A" w:rsidRPr="002B253A" w:rsidRDefault="0098112A" w:rsidP="0098112A">
      <w:pPr>
        <w:spacing w:before="7" w:after="0" w:line="120" w:lineRule="exact"/>
        <w:rPr>
          <w:rFonts w:ascii="Garamond" w:hAnsi="Garamond"/>
          <w:sz w:val="24"/>
          <w:szCs w:val="24"/>
        </w:rPr>
      </w:pPr>
    </w:p>
    <w:p w14:paraId="2364B69C" w14:textId="77777777" w:rsidR="0098112A" w:rsidRPr="002B253A" w:rsidRDefault="0098112A" w:rsidP="0098112A">
      <w:pPr>
        <w:rPr>
          <w:rFonts w:ascii="Garamond" w:hAnsi="Garamond"/>
          <w:sz w:val="24"/>
          <w:szCs w:val="24"/>
        </w:rPr>
      </w:pPr>
    </w:p>
    <w:p w14:paraId="69BE4374" w14:textId="77777777" w:rsidR="0098112A" w:rsidRDefault="0098112A" w:rsidP="0098112A"/>
    <w:p w14:paraId="432EAF9A" w14:textId="77777777" w:rsidR="0098112A" w:rsidRDefault="0098112A" w:rsidP="0098112A"/>
    <w:p w14:paraId="7B5410E1" w14:textId="77777777" w:rsidR="00937143" w:rsidRDefault="00937143"/>
    <w:sectPr w:rsidR="00937143" w:rsidSect="00B71000">
      <w:footerReference w:type="default" r:id="rId7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07F5" w14:textId="77777777" w:rsidR="00041EB6" w:rsidRDefault="00041EB6">
      <w:pPr>
        <w:spacing w:after="0" w:line="240" w:lineRule="auto"/>
      </w:pPr>
      <w:r>
        <w:separator/>
      </w:r>
    </w:p>
  </w:endnote>
  <w:endnote w:type="continuationSeparator" w:id="0">
    <w:p w14:paraId="25C5B16F" w14:textId="77777777" w:rsidR="00041EB6" w:rsidRDefault="0004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E008" w14:textId="77777777" w:rsidR="00937143" w:rsidRDefault="00D818B4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E29B86" wp14:editId="1F755E0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8773" w14:textId="77777777" w:rsidR="00937143" w:rsidRDefault="00937143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29B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1138773" w14:textId="77777777" w:rsidR="00937143" w:rsidRDefault="00937143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389E" w14:textId="77777777" w:rsidR="00041EB6" w:rsidRDefault="00041EB6">
      <w:pPr>
        <w:spacing w:after="0" w:line="240" w:lineRule="auto"/>
      </w:pPr>
      <w:r>
        <w:separator/>
      </w:r>
    </w:p>
  </w:footnote>
  <w:footnote w:type="continuationSeparator" w:id="0">
    <w:p w14:paraId="29383503" w14:textId="77777777" w:rsidR="00041EB6" w:rsidRDefault="00041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2A"/>
    <w:rsid w:val="00041EB6"/>
    <w:rsid w:val="000C7C74"/>
    <w:rsid w:val="0010378C"/>
    <w:rsid w:val="003431C1"/>
    <w:rsid w:val="0037120E"/>
    <w:rsid w:val="00426D1D"/>
    <w:rsid w:val="0047661D"/>
    <w:rsid w:val="00593179"/>
    <w:rsid w:val="00747794"/>
    <w:rsid w:val="00787E07"/>
    <w:rsid w:val="007A26FB"/>
    <w:rsid w:val="007A3740"/>
    <w:rsid w:val="008C19C8"/>
    <w:rsid w:val="00903095"/>
    <w:rsid w:val="00922304"/>
    <w:rsid w:val="00937143"/>
    <w:rsid w:val="00942236"/>
    <w:rsid w:val="0098112A"/>
    <w:rsid w:val="009844A5"/>
    <w:rsid w:val="009E4564"/>
    <w:rsid w:val="00A10D04"/>
    <w:rsid w:val="00A31BD2"/>
    <w:rsid w:val="00AB5496"/>
    <w:rsid w:val="00D33EE2"/>
    <w:rsid w:val="00D40842"/>
    <w:rsid w:val="00D818B4"/>
    <w:rsid w:val="00D86F9C"/>
    <w:rsid w:val="00EC17DA"/>
    <w:rsid w:val="00EF3230"/>
    <w:rsid w:val="00EF7F13"/>
    <w:rsid w:val="00F3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7CC1"/>
  <w15:chartTrackingRefBased/>
  <w15:docId w15:val="{D545F0DD-A0EB-48F4-8382-7C9B6850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12A"/>
    <w:pPr>
      <w:widowControl w:val="0"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811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1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punat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Jasna Bušljeta</cp:lastModifiedBy>
  <cp:revision>2</cp:revision>
  <dcterms:created xsi:type="dcterms:W3CDTF">2025-10-08T08:18:00Z</dcterms:created>
  <dcterms:modified xsi:type="dcterms:W3CDTF">2025-10-08T08:18:00Z</dcterms:modified>
</cp:coreProperties>
</file>