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:rsidRPr="00774579" w14:paraId="16DEA0B6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03F631BC" w14:textId="77777777" w:rsidR="0085098C" w:rsidRPr="00E63F42" w:rsidRDefault="0085098C" w:rsidP="0085098C">
            <w:pPr>
              <w:jc w:val="center"/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OBRAZAC IZVJEŠĆA O PROVEDENOM SAVJETOVANJU SA ZAINTERESIRANOM JAVNOŠĆU</w:t>
            </w:r>
          </w:p>
        </w:tc>
      </w:tr>
      <w:tr w:rsidR="0085098C" w:rsidRPr="00774579" w14:paraId="5BB4DAD2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5C82E6C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Naslov dokumenta</w:t>
            </w:r>
          </w:p>
        </w:tc>
        <w:tc>
          <w:tcPr>
            <w:tcW w:w="5669" w:type="dxa"/>
          </w:tcPr>
          <w:p w14:paraId="1BA9C9F1" w14:textId="049371BA" w:rsidR="0085098C" w:rsidRPr="007D31FE" w:rsidRDefault="007D31FE" w:rsidP="00A9504A">
            <w:pPr>
              <w:overflowPunct w:val="0"/>
              <w:autoSpaceDE w:val="0"/>
              <w:ind w:right="-46"/>
              <w:rPr>
                <w:rFonts w:ascii="Garamond" w:eastAsia="Calibri" w:hAnsi="Garamond"/>
                <w:b/>
                <w:bCs/>
                <w:szCs w:val="22"/>
                <w:lang w:val="hr-HR"/>
              </w:rPr>
            </w:pPr>
            <w:r w:rsidRPr="007D31FE">
              <w:rPr>
                <w:rFonts w:ascii="Garamond" w:eastAsia="Myriad Pro" w:hAnsi="Garamond" w:cs="Myriad Pro"/>
                <w:b/>
                <w:bCs/>
                <w:color w:val="231F20"/>
                <w:lang w:val="hr-HR"/>
              </w:rPr>
              <w:t>Odluka</w:t>
            </w:r>
            <w:r w:rsidRPr="007D31FE">
              <w:rPr>
                <w:rFonts w:ascii="Garamond" w:hAnsi="Garamond"/>
                <w:b/>
                <w:bCs/>
                <w:lang w:val="hr-HR"/>
              </w:rPr>
              <w:t xml:space="preserve"> </w:t>
            </w:r>
            <w:r w:rsidRPr="007D31FE">
              <w:rPr>
                <w:rFonts w:ascii="Garamond" w:eastAsia="Myriad Pro" w:hAnsi="Garamond" w:cs="Myriad Pro"/>
                <w:b/>
                <w:bCs/>
                <w:color w:val="231F20"/>
                <w:lang w:val="hr-HR"/>
              </w:rPr>
              <w:t>o</w:t>
            </w:r>
            <w:r w:rsidRPr="007D31FE">
              <w:rPr>
                <w:rFonts w:ascii="Garamond" w:hAnsi="Garamond"/>
                <w:b/>
                <w:bCs/>
                <w:lang w:val="hr-HR"/>
              </w:rPr>
              <w:t xml:space="preserve"> </w:t>
            </w:r>
            <w:r w:rsidRPr="007D31FE">
              <w:rPr>
                <w:rFonts w:ascii="Garamond" w:eastAsia="Calibri" w:hAnsi="Garamond"/>
                <w:b/>
                <w:bCs/>
                <w:lang w:val="hr-HR"/>
              </w:rPr>
              <w:t>izmjeni Odluke o korištenju prostorija Narodnog doma u Puntu</w:t>
            </w:r>
          </w:p>
        </w:tc>
      </w:tr>
      <w:tr w:rsidR="0085098C" w:rsidRPr="00774579" w14:paraId="76C3EEB6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3B93F0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669" w:type="dxa"/>
          </w:tcPr>
          <w:p w14:paraId="3CA73C5F" w14:textId="5B78F2EF" w:rsidR="0085098C" w:rsidRPr="007D31FE" w:rsidRDefault="00B72429" w:rsidP="001B2755">
            <w:pPr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eastAsia="Myriad Pro" w:hAnsi="Garamond" w:cs="Myriad Pro"/>
                <w:color w:val="231F20"/>
                <w:szCs w:val="22"/>
                <w:lang w:val="hr-HR"/>
              </w:rPr>
              <w:t>Općina Punat</w:t>
            </w:r>
          </w:p>
        </w:tc>
      </w:tr>
      <w:tr w:rsidR="0085098C" w:rsidRPr="00774579" w14:paraId="193788B0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5A9B307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Svrha dokumenta</w:t>
            </w:r>
          </w:p>
        </w:tc>
        <w:tc>
          <w:tcPr>
            <w:tcW w:w="5669" w:type="dxa"/>
          </w:tcPr>
          <w:p w14:paraId="1833EC8A" w14:textId="77777777" w:rsidR="007D31FE" w:rsidRPr="007D31FE" w:rsidRDefault="007D31FE" w:rsidP="007D31FE">
            <w:pPr>
              <w:spacing w:before="35"/>
              <w:ind w:right="-20"/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hAnsi="Garamond"/>
                <w:szCs w:val="22"/>
                <w:lang w:val="hr-HR"/>
              </w:rPr>
              <w:t xml:space="preserve">Iznosi naknada za korištenje poslovnog prostora Narodnog doma  u Puntu utvrđeni su Odlukom o korištenju prostorija Narodnog doma u Puntu („Službene novine Primorsko-goranske županije“ broj 21/16) koja je donesena 11. kolovoza 2016. godine. </w:t>
            </w:r>
          </w:p>
          <w:p w14:paraId="1B0634FD" w14:textId="77777777" w:rsidR="007D31FE" w:rsidRPr="007D31FE" w:rsidRDefault="007D31FE" w:rsidP="007D31FE">
            <w:pPr>
              <w:spacing w:before="35"/>
              <w:ind w:right="-20"/>
              <w:rPr>
                <w:rFonts w:ascii="Garamond" w:eastAsia="Myriad Pro" w:hAnsi="Garamond" w:cs="Myriad Pro"/>
                <w:szCs w:val="22"/>
                <w:lang w:val="hr-HR"/>
              </w:rPr>
            </w:pPr>
            <w:r w:rsidRPr="007D31FE">
              <w:rPr>
                <w:rFonts w:ascii="Garamond" w:hAnsi="Garamond" w:cs="Arial"/>
                <w:szCs w:val="22"/>
                <w:lang w:val="hr-HR"/>
              </w:rPr>
              <w:t xml:space="preserve">Stopa inflacije prema Državnom zavodu za statistiku za razdoblje od 1. siječnja 2016. godine do 31. kolovoza 2025. godine iznosi 36,7%. </w:t>
            </w:r>
          </w:p>
          <w:p w14:paraId="6A45F792" w14:textId="582B92FE" w:rsidR="0085098C" w:rsidRPr="007D31FE" w:rsidRDefault="007D31FE" w:rsidP="007D31FE">
            <w:pPr>
              <w:spacing w:before="35"/>
              <w:ind w:right="-20"/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hAnsi="Garamond"/>
                <w:szCs w:val="22"/>
                <w:lang w:val="hr-HR"/>
              </w:rPr>
              <w:t>S obzirom na stopu inflacije u navedenom razdoblju kao i zbog usklađenja kuna s eurom predlažu se novi iznosi naknada za korištenje prostorija Narodnog doma u Puntu.</w:t>
            </w:r>
          </w:p>
        </w:tc>
      </w:tr>
      <w:tr w:rsidR="0085098C" w:rsidRPr="00774579" w14:paraId="189FF3E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28389F4" w14:textId="77777777" w:rsidR="0085098C" w:rsidRPr="00E63F42" w:rsidRDefault="0085098C" w:rsidP="00205C97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Datum dokumenta</w:t>
            </w:r>
          </w:p>
        </w:tc>
        <w:tc>
          <w:tcPr>
            <w:tcW w:w="5669" w:type="dxa"/>
          </w:tcPr>
          <w:p w14:paraId="0B500A18" w14:textId="32DE4657" w:rsidR="0085098C" w:rsidRPr="007D31FE" w:rsidRDefault="007D31FE" w:rsidP="00586AA1">
            <w:pPr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hAnsi="Garamond"/>
                <w:szCs w:val="22"/>
                <w:lang w:val="hr-HR"/>
              </w:rPr>
              <w:t>10</w:t>
            </w:r>
            <w:r w:rsidR="00B72429" w:rsidRPr="007D31FE">
              <w:rPr>
                <w:rFonts w:ascii="Garamond" w:hAnsi="Garamond"/>
                <w:szCs w:val="22"/>
                <w:lang w:val="hr-HR"/>
              </w:rPr>
              <w:t xml:space="preserve">. </w:t>
            </w:r>
            <w:r w:rsidRPr="007D31FE">
              <w:rPr>
                <w:rFonts w:ascii="Garamond" w:hAnsi="Garamond"/>
                <w:szCs w:val="22"/>
                <w:lang w:val="hr-HR"/>
              </w:rPr>
              <w:t>listopada</w:t>
            </w:r>
            <w:r w:rsidR="00B72429" w:rsidRPr="007D31FE">
              <w:rPr>
                <w:rFonts w:ascii="Garamond" w:hAnsi="Garamond"/>
                <w:szCs w:val="22"/>
                <w:lang w:val="hr-HR"/>
              </w:rPr>
              <w:t xml:space="preserve"> 2025. godine</w:t>
            </w:r>
          </w:p>
        </w:tc>
      </w:tr>
      <w:tr w:rsidR="0085098C" w:rsidRPr="00774579" w14:paraId="19EA4D3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B5C5300" w14:textId="77777777" w:rsidR="0085098C" w:rsidRPr="00E63F42" w:rsidRDefault="0085098C" w:rsidP="00205C97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Verzija dokumenta</w:t>
            </w:r>
          </w:p>
        </w:tc>
        <w:tc>
          <w:tcPr>
            <w:tcW w:w="5669" w:type="dxa"/>
          </w:tcPr>
          <w:p w14:paraId="2FE90825" w14:textId="68225603" w:rsidR="0085098C" w:rsidRPr="007D31FE" w:rsidRDefault="0012688D" w:rsidP="00205C97">
            <w:pPr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hAnsi="Garamond"/>
                <w:szCs w:val="22"/>
                <w:lang w:val="hr-HR"/>
              </w:rPr>
              <w:t xml:space="preserve">Prijedlog </w:t>
            </w:r>
          </w:p>
        </w:tc>
      </w:tr>
      <w:tr w:rsidR="0085098C" w:rsidRPr="00774579" w14:paraId="732CADC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CA0B4F5" w14:textId="77777777" w:rsidR="0085098C" w:rsidRPr="00E63F42" w:rsidRDefault="0085098C" w:rsidP="00205C97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Vrsta dokumenta</w:t>
            </w:r>
          </w:p>
        </w:tc>
        <w:tc>
          <w:tcPr>
            <w:tcW w:w="5669" w:type="dxa"/>
          </w:tcPr>
          <w:p w14:paraId="4C4AF884" w14:textId="77777777" w:rsidR="0085098C" w:rsidRPr="007D31FE" w:rsidRDefault="0012688D" w:rsidP="00205C97">
            <w:pPr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hAnsi="Garamond"/>
                <w:szCs w:val="22"/>
                <w:lang w:val="hr-HR"/>
              </w:rPr>
              <w:t>Opći akt</w:t>
            </w:r>
          </w:p>
        </w:tc>
      </w:tr>
      <w:tr w:rsidR="0085098C" w:rsidRPr="00774579" w14:paraId="1DD813DE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414871D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 xml:space="preserve">Naziv nacrta zakona, drugog propisa ili akta </w:t>
            </w:r>
          </w:p>
        </w:tc>
        <w:tc>
          <w:tcPr>
            <w:tcW w:w="5669" w:type="dxa"/>
          </w:tcPr>
          <w:p w14:paraId="72901DE7" w14:textId="023F1BD4" w:rsidR="0085098C" w:rsidRPr="007D31FE" w:rsidRDefault="002F7AAA" w:rsidP="00A9504A">
            <w:pPr>
              <w:rPr>
                <w:rFonts w:ascii="Garamond" w:hAnsi="Garamond"/>
                <w:szCs w:val="22"/>
                <w:lang w:val="hr-HR"/>
              </w:rPr>
            </w:pPr>
            <w:r w:rsidRPr="007D31FE">
              <w:rPr>
                <w:rFonts w:ascii="Garamond" w:eastAsia="Myriad Pro" w:hAnsi="Garamond" w:cs="Myriad Pro"/>
                <w:color w:val="231F20"/>
                <w:szCs w:val="22"/>
                <w:lang w:val="hr-HR"/>
              </w:rPr>
              <w:t xml:space="preserve">Prijedlog </w:t>
            </w:r>
            <w:r w:rsidR="007D31FE" w:rsidRPr="007D31FE">
              <w:rPr>
                <w:rFonts w:ascii="Garamond" w:eastAsia="Myriad Pro" w:hAnsi="Garamond" w:cs="Myriad Pro"/>
                <w:color w:val="231F20"/>
                <w:lang w:val="hr-HR"/>
              </w:rPr>
              <w:t>Odluk</w:t>
            </w:r>
            <w:r w:rsidR="007D31FE" w:rsidRPr="007D31FE">
              <w:rPr>
                <w:rFonts w:ascii="Garamond" w:eastAsia="Myriad Pro" w:hAnsi="Garamond" w:cs="Myriad Pro"/>
                <w:color w:val="231F20"/>
                <w:lang w:val="hr-HR"/>
              </w:rPr>
              <w:t>e</w:t>
            </w:r>
            <w:r w:rsidR="007D31FE" w:rsidRPr="007D31FE">
              <w:rPr>
                <w:rFonts w:ascii="Garamond" w:hAnsi="Garamond"/>
                <w:lang w:val="hr-HR"/>
              </w:rPr>
              <w:t xml:space="preserve"> </w:t>
            </w:r>
            <w:r w:rsidR="007D31FE" w:rsidRPr="007D31FE">
              <w:rPr>
                <w:rFonts w:ascii="Garamond" w:eastAsia="Myriad Pro" w:hAnsi="Garamond" w:cs="Myriad Pro"/>
                <w:color w:val="231F20"/>
                <w:lang w:val="hr-HR"/>
              </w:rPr>
              <w:t>o</w:t>
            </w:r>
            <w:r w:rsidR="007D31FE" w:rsidRPr="007D31FE">
              <w:rPr>
                <w:rFonts w:ascii="Garamond" w:hAnsi="Garamond"/>
                <w:lang w:val="hr-HR"/>
              </w:rPr>
              <w:t xml:space="preserve"> </w:t>
            </w:r>
            <w:r w:rsidR="007D31FE" w:rsidRPr="007D31FE">
              <w:rPr>
                <w:rFonts w:ascii="Garamond" w:eastAsia="Calibri" w:hAnsi="Garamond"/>
                <w:lang w:val="hr-HR"/>
              </w:rPr>
              <w:t>izmjeni Odluke o korištenju prostorija Narodnog doma u Puntu</w:t>
            </w:r>
          </w:p>
        </w:tc>
      </w:tr>
      <w:tr w:rsidR="0085098C" w:rsidRPr="00774579" w14:paraId="097386E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57EE353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Jedinstvena oznaka iz Plana donošenja zakona, drugih propisa i akata objavljenog na internetskim stranicama Općine</w:t>
            </w:r>
          </w:p>
        </w:tc>
        <w:tc>
          <w:tcPr>
            <w:tcW w:w="5669" w:type="dxa"/>
            <w:vAlign w:val="center"/>
          </w:tcPr>
          <w:p w14:paraId="6FE3990D" w14:textId="4FCF7654" w:rsidR="0085098C" w:rsidRPr="00E63F42" w:rsidRDefault="0012688D" w:rsidP="0012688D">
            <w:pPr>
              <w:rPr>
                <w:rFonts w:ascii="Garamond" w:hAnsi="Garamond"/>
                <w:i/>
                <w:szCs w:val="22"/>
                <w:lang w:val="hr-HR"/>
              </w:rPr>
            </w:pPr>
            <w:r w:rsidRPr="00E63F42">
              <w:rPr>
                <w:rFonts w:ascii="Garamond" w:hAnsi="Garamond"/>
                <w:i/>
                <w:szCs w:val="22"/>
                <w:lang w:val="hr-HR"/>
              </w:rPr>
              <w:t>nije primjenjivo</w:t>
            </w:r>
          </w:p>
        </w:tc>
      </w:tr>
      <w:tr w:rsidR="0085098C" w:rsidRPr="00774579" w14:paraId="2C111248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00A22A8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Naziv tijela nadležnog za izradu nacrta</w:t>
            </w:r>
          </w:p>
        </w:tc>
        <w:tc>
          <w:tcPr>
            <w:tcW w:w="5669" w:type="dxa"/>
          </w:tcPr>
          <w:p w14:paraId="0FE0545C" w14:textId="1A1AA729" w:rsidR="0085098C" w:rsidRPr="00E63F42" w:rsidRDefault="006F4615" w:rsidP="00535A64">
            <w:pPr>
              <w:rPr>
                <w:rFonts w:ascii="Garamond" w:hAnsi="Garamond"/>
                <w:szCs w:val="22"/>
                <w:lang w:val="hr-HR"/>
              </w:rPr>
            </w:pPr>
            <w:r w:rsidRPr="00E63F42">
              <w:rPr>
                <w:rFonts w:ascii="Garamond" w:hAnsi="Garamond"/>
                <w:szCs w:val="22"/>
                <w:lang w:val="hr-HR"/>
              </w:rPr>
              <w:t>Općina Punat</w:t>
            </w:r>
          </w:p>
        </w:tc>
      </w:tr>
      <w:tr w:rsidR="0085098C" w:rsidRPr="00774579" w14:paraId="7DF09F2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5F72B3A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69" w:type="dxa"/>
          </w:tcPr>
          <w:p w14:paraId="16420619" w14:textId="77777777" w:rsidR="0085098C" w:rsidRPr="00E63F42" w:rsidRDefault="0012688D">
            <w:pPr>
              <w:rPr>
                <w:rFonts w:ascii="Garamond" w:hAnsi="Garamond"/>
                <w:szCs w:val="22"/>
                <w:lang w:val="hr-HR"/>
              </w:rPr>
            </w:pPr>
            <w:r w:rsidRPr="00E63F42">
              <w:rPr>
                <w:rFonts w:ascii="Garamond" w:hAnsi="Garamond"/>
                <w:szCs w:val="22"/>
                <w:lang w:val="hr-HR"/>
              </w:rPr>
              <w:t>Nije bilo zainteresiranih.</w:t>
            </w:r>
          </w:p>
        </w:tc>
      </w:tr>
      <w:tr w:rsidR="0085098C" w:rsidRPr="00774579" w14:paraId="56162264" w14:textId="77777777" w:rsidTr="00076A99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44C3544E" w14:textId="5FA63B74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Je li nacrt bio objavljen na internetskim stranicama ili na drugi odgovarajući način?</w:t>
            </w:r>
          </w:p>
          <w:p w14:paraId="74175A52" w14:textId="0743C56F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Ako jest, kada je nacrt objavljen, na kojoj internetskoj stranici i koliko je vremena ostavljeno za savjetovanje?</w:t>
            </w:r>
          </w:p>
          <w:p w14:paraId="3EF0F65F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Ako nije, zašto nije?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D287AA5" w14:textId="77777777" w:rsidR="0085098C" w:rsidRPr="00E63F42" w:rsidRDefault="00E16C52" w:rsidP="0085098C">
            <w:pPr>
              <w:rPr>
                <w:rFonts w:ascii="Garamond" w:hAnsi="Garamond"/>
                <w:szCs w:val="22"/>
                <w:lang w:val="hr-HR"/>
              </w:rPr>
            </w:pPr>
            <w:r w:rsidRPr="00E63F42">
              <w:rPr>
                <w:rFonts w:ascii="Garamond" w:hAnsi="Garamond"/>
                <w:szCs w:val="22"/>
                <w:lang w:val="hr-HR"/>
              </w:rPr>
              <w:t>Nacrt akta</w:t>
            </w:r>
            <w:r w:rsidR="0085098C" w:rsidRPr="00E63F42">
              <w:rPr>
                <w:rFonts w:ascii="Garamond" w:hAnsi="Garamond"/>
                <w:szCs w:val="22"/>
                <w:lang w:val="hr-HR"/>
              </w:rPr>
              <w:t xml:space="preserve"> bio </w:t>
            </w:r>
            <w:r w:rsidRPr="00E63F42">
              <w:rPr>
                <w:rFonts w:ascii="Garamond" w:hAnsi="Garamond"/>
                <w:szCs w:val="22"/>
                <w:lang w:val="hr-HR"/>
              </w:rPr>
              <w:t xml:space="preserve">je </w:t>
            </w:r>
            <w:r w:rsidR="0085098C" w:rsidRPr="00E63F42">
              <w:rPr>
                <w:rFonts w:ascii="Garamond" w:hAnsi="Garamond"/>
                <w:szCs w:val="22"/>
                <w:lang w:val="hr-HR"/>
              </w:rPr>
              <w:t xml:space="preserve">objavljen na službenoj </w:t>
            </w:r>
            <w:r w:rsidR="001B2755" w:rsidRPr="00E63F42">
              <w:rPr>
                <w:rFonts w:ascii="Garamond" w:hAnsi="Garamond"/>
                <w:szCs w:val="22"/>
                <w:lang w:val="hr-HR"/>
              </w:rPr>
              <w:t>web</w:t>
            </w:r>
            <w:r w:rsidR="0085098C" w:rsidRPr="00E63F42">
              <w:rPr>
                <w:rFonts w:ascii="Garamond" w:hAnsi="Garamond"/>
                <w:szCs w:val="22"/>
                <w:lang w:val="hr-HR"/>
              </w:rPr>
              <w:t xml:space="preserve"> stranici Općine Punat</w:t>
            </w:r>
            <w:r w:rsidRPr="00E63F42">
              <w:rPr>
                <w:rFonts w:ascii="Garamond" w:hAnsi="Garamond"/>
                <w:szCs w:val="22"/>
                <w:lang w:val="hr-HR"/>
              </w:rPr>
              <w:t>.</w:t>
            </w:r>
          </w:p>
          <w:p w14:paraId="54F5E781" w14:textId="77777777" w:rsidR="00E16C52" w:rsidRPr="00E63F42" w:rsidRDefault="00E16C52" w:rsidP="0085098C">
            <w:pPr>
              <w:rPr>
                <w:rFonts w:ascii="Garamond" w:hAnsi="Garamond"/>
                <w:szCs w:val="22"/>
                <w:lang w:val="hr-HR"/>
              </w:rPr>
            </w:pPr>
          </w:p>
          <w:p w14:paraId="78BF185A" w14:textId="77777777" w:rsidR="00C077CC" w:rsidRPr="00E63F42" w:rsidRDefault="00C077CC" w:rsidP="0085098C">
            <w:pPr>
              <w:rPr>
                <w:rFonts w:ascii="Garamond" w:hAnsi="Garamond"/>
                <w:szCs w:val="22"/>
                <w:lang w:val="hr-HR"/>
              </w:rPr>
            </w:pPr>
          </w:p>
        </w:tc>
      </w:tr>
      <w:tr w:rsidR="0085098C" w:rsidRPr="00774579" w14:paraId="10E09203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2A322D2C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61FBB877" w14:textId="20B6A750" w:rsidR="00C077CC" w:rsidRPr="00E63F42" w:rsidRDefault="00E16C52" w:rsidP="00753DB8">
            <w:pPr>
              <w:rPr>
                <w:rFonts w:ascii="Garamond" w:hAnsi="Garamond"/>
                <w:szCs w:val="22"/>
                <w:lang w:val="hr-HR"/>
              </w:rPr>
            </w:pPr>
            <w:r w:rsidRPr="00E63F42">
              <w:rPr>
                <w:rFonts w:ascii="Garamond" w:hAnsi="Garamond"/>
                <w:szCs w:val="22"/>
                <w:lang w:val="hr-HR"/>
              </w:rPr>
              <w:t>Nacrt je objavljen da</w:t>
            </w:r>
            <w:r w:rsidR="000B117D" w:rsidRPr="00E63F42">
              <w:rPr>
                <w:rFonts w:ascii="Garamond" w:hAnsi="Garamond"/>
                <w:szCs w:val="22"/>
                <w:lang w:val="hr-HR"/>
              </w:rPr>
              <w:t xml:space="preserve">na </w:t>
            </w:r>
            <w:r w:rsidR="007D31FE">
              <w:rPr>
                <w:rFonts w:ascii="Garamond" w:hAnsi="Garamond"/>
                <w:szCs w:val="22"/>
                <w:lang w:val="hr-HR"/>
              </w:rPr>
              <w:t>10</w:t>
            </w:r>
            <w:r w:rsidR="0012688D" w:rsidRPr="00E63F42">
              <w:rPr>
                <w:rFonts w:ascii="Garamond" w:hAnsi="Garamond"/>
                <w:szCs w:val="22"/>
                <w:lang w:val="hr-HR"/>
              </w:rPr>
              <w:t>.</w:t>
            </w:r>
            <w:r w:rsidR="00437EF3" w:rsidRPr="00E63F42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="007D31FE">
              <w:rPr>
                <w:rFonts w:ascii="Garamond" w:hAnsi="Garamond"/>
                <w:szCs w:val="22"/>
                <w:lang w:val="hr-HR"/>
              </w:rPr>
              <w:t>listopada</w:t>
            </w:r>
            <w:r w:rsidR="006F4615" w:rsidRPr="00E63F42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="0012688D" w:rsidRPr="00E63F42">
              <w:rPr>
                <w:rFonts w:ascii="Garamond" w:hAnsi="Garamond"/>
                <w:szCs w:val="22"/>
                <w:lang w:val="hr-HR"/>
              </w:rPr>
              <w:t>202</w:t>
            </w:r>
            <w:r w:rsidR="006F4615" w:rsidRPr="00E63F42">
              <w:rPr>
                <w:rFonts w:ascii="Garamond" w:hAnsi="Garamond"/>
                <w:szCs w:val="22"/>
                <w:lang w:val="hr-HR"/>
              </w:rPr>
              <w:t>5</w:t>
            </w:r>
            <w:r w:rsidR="0012688D" w:rsidRPr="00E63F42">
              <w:rPr>
                <w:rFonts w:ascii="Garamond" w:hAnsi="Garamond"/>
                <w:szCs w:val="22"/>
                <w:lang w:val="hr-HR"/>
              </w:rPr>
              <w:t xml:space="preserve">. godine na </w:t>
            </w:r>
            <w:r w:rsidR="001B2755" w:rsidRPr="00E63F42">
              <w:rPr>
                <w:rFonts w:ascii="Garamond" w:hAnsi="Garamond"/>
                <w:szCs w:val="22"/>
                <w:lang w:val="hr-HR"/>
              </w:rPr>
              <w:t>web</w:t>
            </w:r>
            <w:r w:rsidRPr="00E63F42">
              <w:rPr>
                <w:rFonts w:ascii="Garamond" w:hAnsi="Garamond"/>
                <w:szCs w:val="22"/>
                <w:lang w:val="hr-HR"/>
              </w:rPr>
              <w:t xml:space="preserve"> stranici: </w:t>
            </w:r>
            <w:hyperlink r:id="rId5" w:history="1">
              <w:r w:rsidRPr="00E63F42">
                <w:rPr>
                  <w:rStyle w:val="Hiperveza"/>
                  <w:rFonts w:ascii="Garamond" w:hAnsi="Garamond"/>
                  <w:szCs w:val="22"/>
                  <w:lang w:val="hr-HR"/>
                </w:rPr>
                <w:t>www.punat.hr</w:t>
              </w:r>
            </w:hyperlink>
            <w:r w:rsidRPr="00E63F42">
              <w:rPr>
                <w:rFonts w:ascii="Garamond" w:hAnsi="Garamond"/>
                <w:szCs w:val="22"/>
                <w:lang w:val="hr-HR"/>
              </w:rPr>
              <w:t xml:space="preserve">. Savjetovanje je bilo otvoreno od </w:t>
            </w:r>
            <w:r w:rsidR="007D31FE">
              <w:rPr>
                <w:rFonts w:ascii="Garamond" w:hAnsi="Garamond"/>
                <w:szCs w:val="22"/>
                <w:lang w:val="hr-HR"/>
              </w:rPr>
              <w:t>10</w:t>
            </w:r>
            <w:r w:rsidRPr="00E63F42">
              <w:rPr>
                <w:rFonts w:ascii="Garamond" w:hAnsi="Garamond"/>
                <w:szCs w:val="22"/>
                <w:lang w:val="hr-HR"/>
              </w:rPr>
              <w:t>.</w:t>
            </w:r>
            <w:r w:rsidR="00205C97" w:rsidRPr="00E63F42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="007D31FE">
              <w:rPr>
                <w:rFonts w:ascii="Garamond" w:hAnsi="Garamond"/>
                <w:szCs w:val="22"/>
                <w:lang w:val="hr-HR"/>
              </w:rPr>
              <w:t>listopada</w:t>
            </w:r>
            <w:r w:rsidR="00A9504A" w:rsidRPr="00E63F42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Pr="00E63F42">
              <w:rPr>
                <w:rFonts w:ascii="Garamond" w:hAnsi="Garamond"/>
                <w:szCs w:val="22"/>
                <w:lang w:val="hr-HR"/>
              </w:rPr>
              <w:t xml:space="preserve">do </w:t>
            </w:r>
            <w:r w:rsidR="00803828">
              <w:rPr>
                <w:rFonts w:ascii="Garamond" w:hAnsi="Garamond"/>
                <w:szCs w:val="22"/>
                <w:lang w:val="hr-HR"/>
              </w:rPr>
              <w:t>1</w:t>
            </w:r>
            <w:r w:rsidR="007D31FE">
              <w:rPr>
                <w:rFonts w:ascii="Garamond" w:hAnsi="Garamond"/>
                <w:szCs w:val="22"/>
                <w:lang w:val="hr-HR"/>
              </w:rPr>
              <w:t>0</w:t>
            </w:r>
            <w:r w:rsidRPr="00E63F42">
              <w:rPr>
                <w:rFonts w:ascii="Garamond" w:hAnsi="Garamond"/>
                <w:szCs w:val="22"/>
                <w:lang w:val="hr-HR"/>
              </w:rPr>
              <w:t xml:space="preserve">. </w:t>
            </w:r>
            <w:r w:rsidR="007D31FE">
              <w:rPr>
                <w:rFonts w:ascii="Garamond" w:hAnsi="Garamond"/>
                <w:szCs w:val="22"/>
                <w:lang w:val="hr-HR"/>
              </w:rPr>
              <w:t>studenoga</w:t>
            </w:r>
            <w:r w:rsidR="002F7AAA" w:rsidRPr="00E63F42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Pr="00E63F42">
              <w:rPr>
                <w:rFonts w:ascii="Garamond" w:hAnsi="Garamond"/>
                <w:szCs w:val="22"/>
                <w:lang w:val="hr-HR"/>
              </w:rPr>
              <w:t>202</w:t>
            </w:r>
            <w:r w:rsidR="006F4615" w:rsidRPr="00E63F42">
              <w:rPr>
                <w:rFonts w:ascii="Garamond" w:hAnsi="Garamond"/>
                <w:szCs w:val="22"/>
                <w:lang w:val="hr-HR"/>
              </w:rPr>
              <w:t>5</w:t>
            </w:r>
            <w:r w:rsidRPr="00E63F42">
              <w:rPr>
                <w:rFonts w:ascii="Garamond" w:hAnsi="Garamond"/>
                <w:szCs w:val="22"/>
                <w:lang w:val="hr-HR"/>
              </w:rPr>
              <w:t>. godine.</w:t>
            </w:r>
          </w:p>
        </w:tc>
      </w:tr>
      <w:tr w:rsidR="0085098C" w:rsidRPr="00774579" w14:paraId="2171AC8F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124E3C55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5E6D480B" w14:textId="64FB62E2" w:rsidR="0085098C" w:rsidRPr="00E63F42" w:rsidRDefault="00E16C52">
            <w:pPr>
              <w:rPr>
                <w:rFonts w:ascii="Garamond" w:hAnsi="Garamond"/>
                <w:i/>
                <w:szCs w:val="22"/>
                <w:lang w:val="hr-HR"/>
              </w:rPr>
            </w:pPr>
            <w:r w:rsidRPr="00E63F42">
              <w:rPr>
                <w:rFonts w:ascii="Garamond" w:hAnsi="Garamond"/>
                <w:i/>
                <w:szCs w:val="22"/>
                <w:lang w:val="hr-HR"/>
              </w:rPr>
              <w:t>nije primjenjivo</w:t>
            </w:r>
          </w:p>
        </w:tc>
      </w:tr>
      <w:tr w:rsidR="0085098C" w:rsidRPr="00774579" w14:paraId="75AE6F8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5A645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Koji su predstavnici zainteresirane javnosti dostavili svoja očitovanja?</w:t>
            </w:r>
          </w:p>
        </w:tc>
        <w:tc>
          <w:tcPr>
            <w:tcW w:w="5669" w:type="dxa"/>
          </w:tcPr>
          <w:p w14:paraId="0AF86103" w14:textId="70204623" w:rsidR="0085098C" w:rsidRPr="00E63F42" w:rsidRDefault="007D31FE" w:rsidP="001B2755">
            <w:pPr>
              <w:rPr>
                <w:rFonts w:ascii="Garamond" w:hAnsi="Garamond"/>
                <w:szCs w:val="22"/>
                <w:lang w:val="hr-HR"/>
              </w:rPr>
            </w:pPr>
            <w:r>
              <w:rPr>
                <w:rFonts w:ascii="Garamond" w:hAnsi="Garamond"/>
                <w:szCs w:val="22"/>
                <w:lang w:val="hr-HR"/>
              </w:rPr>
              <w:t>Nitko nije dostavio očitovanje</w:t>
            </w:r>
          </w:p>
        </w:tc>
      </w:tr>
      <w:tr w:rsidR="00012C73" w:rsidRPr="00A05B39" w14:paraId="24FD0FAE" w14:textId="77777777" w:rsidTr="00C077CC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FFA6EA8" w14:textId="77777777" w:rsidR="00012C73" w:rsidRPr="00437EF3" w:rsidRDefault="00012C73" w:rsidP="00C077CC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0573F562" w14:textId="77777777" w:rsidR="00012C73" w:rsidRPr="00437EF3" w:rsidRDefault="00012C73" w:rsidP="00012C73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4C99559E" w14:textId="77777777" w:rsidR="00012C73" w:rsidRPr="00437EF3" w:rsidRDefault="00012C73" w:rsidP="00012C73">
            <w:pPr>
              <w:rPr>
                <w:rFonts w:ascii="Garamond" w:hAnsi="Garamond"/>
                <w:b/>
                <w:szCs w:val="22"/>
                <w:highlight w:val="yellow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69" w:type="dxa"/>
            <w:vAlign w:val="center"/>
          </w:tcPr>
          <w:p w14:paraId="320EE55D" w14:textId="2CFCB0BE" w:rsidR="00A05B39" w:rsidRPr="00A05B39" w:rsidRDefault="007D31FE" w:rsidP="00A05B39">
            <w:pPr>
              <w:pStyle w:val="StandardWeb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Nije primjenjivo</w:t>
            </w:r>
          </w:p>
          <w:p w14:paraId="31765DE6" w14:textId="4196D028" w:rsidR="00012C73" w:rsidRPr="00E63F42" w:rsidRDefault="00012C73" w:rsidP="007D31FE">
            <w:pPr>
              <w:pStyle w:val="StandardWeb"/>
              <w:spacing w:before="0" w:beforeAutospacing="0" w:after="0" w:afterAutospacing="0"/>
              <w:rPr>
                <w:rFonts w:ascii="Garamond" w:hAnsi="Garamond" w:cstheme="minorHAnsi"/>
                <w:color w:val="EE0000"/>
                <w:sz w:val="22"/>
                <w:szCs w:val="22"/>
              </w:rPr>
            </w:pPr>
          </w:p>
        </w:tc>
      </w:tr>
      <w:tr w:rsidR="0085098C" w:rsidRPr="00774579" w14:paraId="715BDA93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B4F58DC" w14:textId="77777777" w:rsidR="0085098C" w:rsidRPr="00E63F42" w:rsidRDefault="0085098C">
            <w:pPr>
              <w:rPr>
                <w:rFonts w:ascii="Garamond" w:hAnsi="Garamond"/>
                <w:b/>
                <w:szCs w:val="22"/>
                <w:lang w:val="hr-HR"/>
              </w:rPr>
            </w:pPr>
            <w:r w:rsidRPr="00E63F42">
              <w:rPr>
                <w:rFonts w:ascii="Garamond" w:hAnsi="Garamond"/>
                <w:b/>
                <w:szCs w:val="22"/>
                <w:lang w:val="hr-HR"/>
              </w:rPr>
              <w:t>Troškovi provedenog savjetovanja</w:t>
            </w:r>
          </w:p>
        </w:tc>
        <w:tc>
          <w:tcPr>
            <w:tcW w:w="5669" w:type="dxa"/>
          </w:tcPr>
          <w:p w14:paraId="4E10B0CF" w14:textId="77777777" w:rsidR="0085098C" w:rsidRPr="00774579" w:rsidRDefault="00012C73">
            <w:pPr>
              <w:rPr>
                <w:rFonts w:ascii="Garamond" w:hAnsi="Garamond"/>
                <w:szCs w:val="22"/>
              </w:rPr>
            </w:pPr>
            <w:r w:rsidRPr="00774579">
              <w:rPr>
                <w:rFonts w:ascii="Garamond" w:eastAsia="Simsun (Founder Extended)" w:hAnsi="Garamond" w:cs="Calibri"/>
                <w:bCs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6BDD3063" w14:textId="77777777" w:rsidR="00B23830" w:rsidRDefault="00B23830" w:rsidP="00012C73"/>
    <w:sectPr w:rsidR="00B23830" w:rsidSect="00012C73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61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8C"/>
    <w:rsid w:val="000013D2"/>
    <w:rsid w:val="00012C73"/>
    <w:rsid w:val="00022961"/>
    <w:rsid w:val="00056915"/>
    <w:rsid w:val="00073FF9"/>
    <w:rsid w:val="00076A99"/>
    <w:rsid w:val="000B117D"/>
    <w:rsid w:val="000B5088"/>
    <w:rsid w:val="0012688D"/>
    <w:rsid w:val="00134627"/>
    <w:rsid w:val="001B2755"/>
    <w:rsid w:val="001C00BD"/>
    <w:rsid w:val="00205C97"/>
    <w:rsid w:val="00230363"/>
    <w:rsid w:val="00287B51"/>
    <w:rsid w:val="002F7AAA"/>
    <w:rsid w:val="00357EC2"/>
    <w:rsid w:val="003D236A"/>
    <w:rsid w:val="00437EF3"/>
    <w:rsid w:val="00456397"/>
    <w:rsid w:val="004712A6"/>
    <w:rsid w:val="004E4D6C"/>
    <w:rsid w:val="004F13F1"/>
    <w:rsid w:val="00535A64"/>
    <w:rsid w:val="00544B2C"/>
    <w:rsid w:val="00586AA1"/>
    <w:rsid w:val="005F1A47"/>
    <w:rsid w:val="005F69CA"/>
    <w:rsid w:val="0061737F"/>
    <w:rsid w:val="00671D7F"/>
    <w:rsid w:val="006F4615"/>
    <w:rsid w:val="007019F8"/>
    <w:rsid w:val="00711B09"/>
    <w:rsid w:val="00753DB8"/>
    <w:rsid w:val="007657C3"/>
    <w:rsid w:val="00774579"/>
    <w:rsid w:val="00794DC3"/>
    <w:rsid w:val="007C6FDC"/>
    <w:rsid w:val="007D31FE"/>
    <w:rsid w:val="00803350"/>
    <w:rsid w:val="00803828"/>
    <w:rsid w:val="00814D76"/>
    <w:rsid w:val="0085098C"/>
    <w:rsid w:val="008B70A7"/>
    <w:rsid w:val="00993909"/>
    <w:rsid w:val="00A05B39"/>
    <w:rsid w:val="00A352A9"/>
    <w:rsid w:val="00A75385"/>
    <w:rsid w:val="00A9504A"/>
    <w:rsid w:val="00B23830"/>
    <w:rsid w:val="00B72429"/>
    <w:rsid w:val="00BA6711"/>
    <w:rsid w:val="00BC1064"/>
    <w:rsid w:val="00BF1950"/>
    <w:rsid w:val="00C077CC"/>
    <w:rsid w:val="00CD4B41"/>
    <w:rsid w:val="00CE00CC"/>
    <w:rsid w:val="00D17249"/>
    <w:rsid w:val="00D27393"/>
    <w:rsid w:val="00D64648"/>
    <w:rsid w:val="00DA4A27"/>
    <w:rsid w:val="00E16C52"/>
    <w:rsid w:val="00E233BA"/>
    <w:rsid w:val="00E63F42"/>
    <w:rsid w:val="00EA7ECD"/>
    <w:rsid w:val="00ED2E0A"/>
    <w:rsid w:val="00FB42F3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A8E"/>
  <w15:docId w15:val="{9D67899C-D873-423B-9DE4-F83DC8C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17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77457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5F69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2022-05-02T08:56:00Z</cp:lastPrinted>
  <dcterms:created xsi:type="dcterms:W3CDTF">2025-11-17T09:22:00Z</dcterms:created>
  <dcterms:modified xsi:type="dcterms:W3CDTF">2025-11-17T09:22:00Z</dcterms:modified>
</cp:coreProperties>
</file>