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945235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5C8F3F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+*xfs*pvs*Akl*cvA*xBj*tCi*taj*gia*obj*nAm*pBk*-</w:t>
            </w:r>
            <w:r>
              <w:rPr>
                <w:rFonts w:ascii="PDF417x" w:hAnsi="PDF417x"/>
                <w:sz w:val="24"/>
                <w:szCs w:val="24"/>
              </w:rPr>
              <w:br/>
              <w:t>+*yqw*bmy*wkF*wEe*ugc*yla*icz*uwD*zid*yma*zew*-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+*eDs*ors*udz*lyd*lyd*qCj*rEi*bkm*nmb*Erk*zfE*-</w:t>
            </w:r>
            <w:r>
              <w:rPr>
                <w:rFonts w:ascii="PDF417x" w:hAnsi="PDF417x"/>
                <w:sz w:val="24"/>
                <w:szCs w:val="24"/>
              </w:rPr>
              <w:br/>
              <w:t>+*ftw*yze*Cjj*CcE*aiD*Aok*tAr*ovk*tlD*wxg*onA*-</w:t>
            </w:r>
            <w:r>
              <w:rPr>
                <w:rFonts w:ascii="PDF417x" w:hAnsi="PDF417x"/>
                <w:sz w:val="24"/>
                <w:szCs w:val="24"/>
              </w:rPr>
              <w:br/>
              <w:t>+*ftA*bhz*lrm*lbn*EjE*yxo*pzj*ijt*nDt*jdw*uws*-</w:t>
            </w:r>
            <w:r>
              <w:rPr>
                <w:rFonts w:ascii="PDF417x" w:hAnsi="PDF417x"/>
                <w:sz w:val="24"/>
                <w:szCs w:val="24"/>
              </w:rPr>
              <w:br/>
              <w:t>+*xjq*Bsf*baw*FBw*bnD*xbl*kzd*jDr*Ayd*Bmb*uzq*-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57169C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C690F0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W w:w="4084" w:type="dxa"/>
        <w:tblLayout w:type="fixed"/>
        <w:tblLook w:val="04A0" w:firstRow="1" w:lastRow="0" w:firstColumn="1" w:lastColumn="0" w:noHBand="0" w:noVBand="1"/>
      </w:tblPr>
      <w:tblGrid>
        <w:gridCol w:w="3794"/>
        <w:gridCol w:w="290"/>
      </w:tblGrid>
      <w:tr w:rsidR="000C2C75" w14:paraId="3F97A3D8" w14:textId="77777777" w:rsidTr="00802277">
        <w:trPr>
          <w:gridAfter w:val="1"/>
          <w:wAfter w:w="290" w:type="dxa"/>
          <w:cantSplit/>
        </w:trPr>
        <w:tc>
          <w:tcPr>
            <w:tcW w:w="3794" w:type="dxa"/>
          </w:tcPr>
          <w:p w14:paraId="6BCC38A5" w14:textId="77777777" w:rsidR="000C2C75" w:rsidRDefault="000C2C75" w:rsidP="00802277">
            <w:pPr>
              <w:jc w:val="center"/>
              <w:rPr>
                <w:noProof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 wp14:anchorId="28B9C4D1" wp14:editId="79C04636">
                  <wp:extent cx="609600" cy="800100"/>
                  <wp:effectExtent l="0" t="0" r="0" b="0"/>
                  <wp:docPr id="2" name="Picture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60196" w14:textId="77777777" w:rsidR="000C2C75" w:rsidRDefault="000C2C75" w:rsidP="00802277">
            <w:pPr>
              <w:jc w:val="center"/>
              <w:rPr>
                <w:sz w:val="24"/>
                <w:szCs w:val="24"/>
              </w:rPr>
            </w:pPr>
          </w:p>
        </w:tc>
      </w:tr>
      <w:tr w:rsidR="000C2C75" w:rsidRPr="006000F8" w14:paraId="378DD9AD" w14:textId="77777777" w:rsidTr="00802277">
        <w:tblPrEx>
          <w:tblLook w:val="0000" w:firstRow="0" w:lastRow="0" w:firstColumn="0" w:lastColumn="0" w:noHBand="0" w:noVBand="0"/>
        </w:tblPrEx>
        <w:trPr>
          <w:cantSplit/>
          <w:trHeight w:val="974"/>
        </w:trPr>
        <w:tc>
          <w:tcPr>
            <w:tcW w:w="4084" w:type="dxa"/>
            <w:gridSpan w:val="2"/>
          </w:tcPr>
          <w:p w14:paraId="377572D5" w14:textId="77777777" w:rsidR="000C2C75" w:rsidRPr="006000F8" w:rsidRDefault="000C2C75" w:rsidP="00802277">
            <w:pPr>
              <w:pStyle w:val="Naslov1"/>
              <w:jc w:val="center"/>
              <w:rPr>
                <w:rFonts w:ascii="Garamond" w:hAnsi="Garamond"/>
                <w:sz w:val="22"/>
                <w:szCs w:val="22"/>
              </w:rPr>
            </w:pPr>
            <w:r w:rsidRPr="006000F8">
              <w:rPr>
                <w:rFonts w:ascii="Garamond" w:hAnsi="Garamond"/>
                <w:sz w:val="22"/>
                <w:szCs w:val="22"/>
              </w:rPr>
              <w:t>REPUBLIKA HRVATSKA</w:t>
            </w:r>
          </w:p>
          <w:p w14:paraId="2FC3154B" w14:textId="77777777" w:rsidR="000C2C75" w:rsidRPr="006000F8" w:rsidRDefault="000C2C75" w:rsidP="00802277">
            <w:pPr>
              <w:jc w:val="center"/>
              <w:rPr>
                <w:rFonts w:ascii="Garamond" w:hAnsi="Garamond"/>
                <w:b/>
                <w:bCs/>
              </w:rPr>
            </w:pPr>
            <w:r w:rsidRPr="006000F8">
              <w:rPr>
                <w:rFonts w:ascii="Garamond" w:hAnsi="Garamond"/>
                <w:b/>
                <w:bCs/>
              </w:rPr>
              <w:t>PRIMORSKO – GORANSKA ŽUPANIJA</w:t>
            </w:r>
          </w:p>
          <w:p w14:paraId="6A14B5C3" w14:textId="77777777" w:rsidR="000C2C75" w:rsidRPr="006000F8" w:rsidRDefault="000C2C75" w:rsidP="00802277">
            <w:pPr>
              <w:jc w:val="center"/>
              <w:rPr>
                <w:rFonts w:ascii="Garamond" w:hAnsi="Garamond"/>
              </w:rPr>
            </w:pPr>
            <w:r w:rsidRPr="006000F8">
              <w:rPr>
                <w:rFonts w:ascii="Garamond" w:hAnsi="Garamond"/>
                <w:b/>
                <w:bCs/>
              </w:rPr>
              <w:t>OPĆINA PUNAT</w:t>
            </w:r>
          </w:p>
        </w:tc>
      </w:tr>
      <w:tr w:rsidR="000C2C75" w:rsidRPr="006000F8" w14:paraId="61955E38" w14:textId="77777777" w:rsidTr="00802277">
        <w:tblPrEx>
          <w:tblLook w:val="0000" w:firstRow="0" w:lastRow="0" w:firstColumn="0" w:lastColumn="0" w:noHBand="0" w:noVBand="0"/>
        </w:tblPrEx>
        <w:trPr>
          <w:cantSplit/>
          <w:trHeight w:val="569"/>
        </w:trPr>
        <w:tc>
          <w:tcPr>
            <w:tcW w:w="4084" w:type="dxa"/>
            <w:gridSpan w:val="2"/>
          </w:tcPr>
          <w:p w14:paraId="57E48189" w14:textId="77777777" w:rsidR="000C2C75" w:rsidRPr="006000F8" w:rsidRDefault="000C2C75" w:rsidP="00802277">
            <w:pPr>
              <w:pStyle w:val="Naslov1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6000F8">
              <w:rPr>
                <w:rFonts w:ascii="Garamond" w:hAnsi="Garamond"/>
                <w:sz w:val="22"/>
                <w:szCs w:val="22"/>
              </w:rPr>
              <w:t>OPĆINSKI NAČELNIK</w:t>
            </w:r>
          </w:p>
          <w:p w14:paraId="744A4DBE" w14:textId="77777777" w:rsidR="000C2C75" w:rsidRPr="006000F8" w:rsidRDefault="000C2C75" w:rsidP="00802277">
            <w:pPr>
              <w:rPr>
                <w:rFonts w:ascii="Garamond" w:hAnsi="Garamond"/>
              </w:rPr>
            </w:pPr>
          </w:p>
        </w:tc>
      </w:tr>
      <w:tr w:rsidR="000C2C75" w:rsidRPr="006000F8" w14:paraId="56CB4687" w14:textId="77777777" w:rsidTr="00802277">
        <w:tblPrEx>
          <w:tblLook w:val="0000" w:firstRow="0" w:lastRow="0" w:firstColumn="0" w:lastColumn="0" w:noHBand="0" w:noVBand="0"/>
        </w:tblPrEx>
        <w:trPr>
          <w:cantSplit/>
          <w:trHeight w:val="821"/>
        </w:trPr>
        <w:tc>
          <w:tcPr>
            <w:tcW w:w="4084" w:type="dxa"/>
            <w:gridSpan w:val="2"/>
          </w:tcPr>
          <w:p w14:paraId="3A4C6F46" w14:textId="77777777" w:rsidR="000C2C75" w:rsidRPr="006000F8" w:rsidRDefault="000C2C75" w:rsidP="00802277">
            <w:pPr>
              <w:rPr>
                <w:rFonts w:ascii="Garamond" w:hAnsi="Garamond"/>
              </w:rPr>
            </w:pPr>
            <w:r w:rsidRPr="006000F8">
              <w:rPr>
                <w:rFonts w:ascii="Garamond" w:hAnsi="Garamond"/>
              </w:rPr>
              <w:t>KLASA:   030-02/25-01/</w:t>
            </w:r>
            <w:r>
              <w:rPr>
                <w:rFonts w:ascii="Garamond" w:hAnsi="Garamond"/>
              </w:rPr>
              <w:t>11</w:t>
            </w:r>
          </w:p>
          <w:p w14:paraId="21559D9C" w14:textId="77777777" w:rsidR="000C2C75" w:rsidRPr="006000F8" w:rsidRDefault="000C2C75" w:rsidP="00802277">
            <w:pPr>
              <w:rPr>
                <w:rFonts w:ascii="Garamond" w:hAnsi="Garamond"/>
              </w:rPr>
            </w:pPr>
            <w:r w:rsidRPr="006000F8">
              <w:rPr>
                <w:rFonts w:ascii="Garamond" w:hAnsi="Garamond"/>
              </w:rPr>
              <w:t>URBROJ: 2170-31-03/5-2-25-</w:t>
            </w:r>
            <w:r>
              <w:rPr>
                <w:rFonts w:ascii="Garamond" w:hAnsi="Garamond"/>
              </w:rPr>
              <w:t>15</w:t>
            </w:r>
          </w:p>
          <w:p w14:paraId="6C8C2098" w14:textId="77777777" w:rsidR="000C2C75" w:rsidRPr="006000F8" w:rsidRDefault="000C2C75" w:rsidP="00802277">
            <w:pPr>
              <w:pStyle w:val="Naslov1"/>
              <w:rPr>
                <w:rFonts w:ascii="Garamond" w:hAnsi="Garamond"/>
                <w:b w:val="0"/>
                <w:bCs/>
                <w:sz w:val="22"/>
                <w:szCs w:val="22"/>
              </w:rPr>
            </w:pPr>
            <w:r w:rsidRPr="006000F8">
              <w:rPr>
                <w:rFonts w:ascii="Garamond" w:hAnsi="Garamond"/>
                <w:b w:val="0"/>
                <w:bCs/>
                <w:sz w:val="22"/>
                <w:szCs w:val="22"/>
              </w:rPr>
              <w:t xml:space="preserve">Punat, </w:t>
            </w:r>
            <w:r>
              <w:rPr>
                <w:rFonts w:ascii="Garamond" w:hAnsi="Garamond"/>
                <w:b w:val="0"/>
                <w:bCs/>
                <w:sz w:val="22"/>
                <w:szCs w:val="22"/>
              </w:rPr>
              <w:t>7</w:t>
            </w:r>
            <w:r w:rsidRPr="006000F8">
              <w:rPr>
                <w:rFonts w:ascii="Garamond" w:hAnsi="Garamond"/>
                <w:b w:val="0"/>
                <w:bCs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b w:val="0"/>
                <w:bCs/>
                <w:sz w:val="22"/>
                <w:szCs w:val="22"/>
              </w:rPr>
              <w:t>studenoga</w:t>
            </w:r>
            <w:r w:rsidRPr="006000F8">
              <w:rPr>
                <w:rFonts w:ascii="Garamond" w:hAnsi="Garamond"/>
                <w:b w:val="0"/>
                <w:bCs/>
                <w:sz w:val="22"/>
                <w:szCs w:val="22"/>
              </w:rPr>
              <w:t xml:space="preserve"> 20</w:t>
            </w:r>
            <w:r>
              <w:rPr>
                <w:rFonts w:ascii="Garamond" w:hAnsi="Garamond"/>
                <w:b w:val="0"/>
                <w:bCs/>
                <w:sz w:val="22"/>
                <w:szCs w:val="22"/>
              </w:rPr>
              <w:t>25</w:t>
            </w:r>
            <w:r w:rsidRPr="006000F8">
              <w:rPr>
                <w:rFonts w:ascii="Garamond" w:hAnsi="Garamond"/>
                <w:b w:val="0"/>
                <w:bCs/>
                <w:sz w:val="22"/>
                <w:szCs w:val="22"/>
              </w:rPr>
              <w:t>. godine</w:t>
            </w:r>
          </w:p>
        </w:tc>
      </w:tr>
    </w:tbl>
    <w:p w14:paraId="4F5D84AE" w14:textId="77777777" w:rsidR="000C2C75" w:rsidRPr="006000F8" w:rsidRDefault="000C2C75" w:rsidP="000C2C75">
      <w:pPr>
        <w:jc w:val="both"/>
        <w:rPr>
          <w:rFonts w:ascii="Garamond" w:hAnsi="Garamond"/>
        </w:rPr>
      </w:pPr>
    </w:p>
    <w:p w14:paraId="51B7E6AB" w14:textId="22414830" w:rsidR="000C2C75" w:rsidRPr="006000F8" w:rsidRDefault="000C2C75" w:rsidP="000C2C7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6000F8">
        <w:rPr>
          <w:rFonts w:ascii="Garamond" w:hAnsi="Garamond"/>
        </w:rPr>
        <w:tab/>
        <w:t>Na temelju članka 4</w:t>
      </w:r>
      <w:r>
        <w:rPr>
          <w:rFonts w:ascii="Garamond" w:hAnsi="Garamond"/>
        </w:rPr>
        <w:t>6</w:t>
      </w:r>
      <w:r w:rsidRPr="006000F8">
        <w:rPr>
          <w:rFonts w:ascii="Garamond" w:hAnsi="Garamond"/>
        </w:rPr>
        <w:t>. Statuta Općine Punat (</w:t>
      </w:r>
      <w:r w:rsidRPr="006000F8">
        <w:rPr>
          <w:rFonts w:ascii="Garamond" w:eastAsia="TimesNewRoman" w:hAnsi="Garamond"/>
        </w:rPr>
        <w:t>“Službene novine Primorsko goranske županije”</w:t>
      </w:r>
      <w:r>
        <w:rPr>
          <w:rFonts w:ascii="Garamond" w:eastAsia="TimesNewRoman" w:hAnsi="Garamond"/>
        </w:rPr>
        <w:t>,</w:t>
      </w:r>
      <w:r w:rsidRPr="006000F8">
        <w:rPr>
          <w:rFonts w:ascii="Garamond" w:eastAsia="TimesNewRoman" w:hAnsi="Garamond"/>
        </w:rPr>
        <w:t xml:space="preserve"> broj </w:t>
      </w:r>
      <w:r>
        <w:rPr>
          <w:rFonts w:ascii="Garamond" w:hAnsi="Garamond"/>
        </w:rPr>
        <w:t>36/22</w:t>
      </w:r>
      <w:r w:rsidRPr="006000F8">
        <w:rPr>
          <w:rFonts w:ascii="Garamond" w:hAnsi="Garamond"/>
        </w:rPr>
        <w:t>) i na temelju članka 1</w:t>
      </w:r>
      <w:r>
        <w:rPr>
          <w:rFonts w:ascii="Garamond" w:hAnsi="Garamond"/>
        </w:rPr>
        <w:t>4</w:t>
      </w:r>
      <w:r w:rsidRPr="006000F8">
        <w:rPr>
          <w:rFonts w:ascii="Garamond" w:hAnsi="Garamond"/>
        </w:rPr>
        <w:t>. Pravilnika o provedbi postupaka jednostavne nabave robe, radova i usluga (</w:t>
      </w:r>
      <w:r w:rsidRPr="006000F8">
        <w:rPr>
          <w:rFonts w:ascii="Garamond" w:eastAsia="TimesNewRoman" w:hAnsi="Garamond"/>
        </w:rPr>
        <w:t>“Službene novine Primorsko goranske županije”</w:t>
      </w:r>
      <w:r>
        <w:rPr>
          <w:rFonts w:ascii="Garamond" w:eastAsia="TimesNewRoman" w:hAnsi="Garamond"/>
        </w:rPr>
        <w:t>,</w:t>
      </w:r>
      <w:r w:rsidRPr="006000F8">
        <w:rPr>
          <w:rFonts w:ascii="Garamond" w:eastAsia="TimesNewRoman" w:hAnsi="Garamond"/>
        </w:rPr>
        <w:t xml:space="preserve"> broj </w:t>
      </w:r>
      <w:r>
        <w:rPr>
          <w:rFonts w:ascii="Garamond" w:hAnsi="Garamond"/>
        </w:rPr>
        <w:t>16/23 i 37/25</w:t>
      </w:r>
      <w:r w:rsidRPr="006000F8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- </w:t>
      </w:r>
      <w:r w:rsidRPr="006000F8">
        <w:rPr>
          <w:rFonts w:ascii="Garamond" w:hAnsi="Garamond"/>
        </w:rPr>
        <w:t xml:space="preserve">dalje u tekstu: Pravilnik, </w:t>
      </w:r>
      <w:r>
        <w:rPr>
          <w:rFonts w:ascii="Garamond" w:hAnsi="Garamond"/>
        </w:rPr>
        <w:t>o</w:t>
      </w:r>
      <w:r w:rsidRPr="006000F8">
        <w:rPr>
          <w:rFonts w:ascii="Garamond" w:hAnsi="Garamond"/>
        </w:rPr>
        <w:t>pćinski načelnik Općine Punat donosi</w:t>
      </w:r>
    </w:p>
    <w:p w14:paraId="171917B3" w14:textId="77777777" w:rsidR="000C2C75" w:rsidRPr="006000F8" w:rsidRDefault="000C2C75" w:rsidP="000C2C75">
      <w:pPr>
        <w:rPr>
          <w:rFonts w:ascii="Garamond" w:hAnsi="Garamond"/>
        </w:rPr>
      </w:pPr>
    </w:p>
    <w:p w14:paraId="38AEDEE2" w14:textId="77777777" w:rsidR="000C2C75" w:rsidRPr="006000F8" w:rsidRDefault="000C2C75" w:rsidP="000C2C75">
      <w:pPr>
        <w:jc w:val="center"/>
        <w:rPr>
          <w:rFonts w:ascii="Garamond" w:hAnsi="Garamond"/>
          <w:b/>
        </w:rPr>
      </w:pPr>
      <w:r w:rsidRPr="006000F8">
        <w:rPr>
          <w:rFonts w:ascii="Garamond" w:hAnsi="Garamond"/>
          <w:b/>
        </w:rPr>
        <w:t>O D L U K U    O    P O N I Š T E N J U</w:t>
      </w:r>
    </w:p>
    <w:p w14:paraId="27A94810" w14:textId="77777777" w:rsidR="000C2C75" w:rsidRPr="006000F8" w:rsidRDefault="000C2C75" w:rsidP="000C2C75">
      <w:pPr>
        <w:jc w:val="center"/>
        <w:rPr>
          <w:rFonts w:ascii="Garamond" w:hAnsi="Garamond"/>
          <w:b/>
        </w:rPr>
      </w:pPr>
    </w:p>
    <w:p w14:paraId="243E5DFD" w14:textId="40C8F4EE" w:rsidR="000C2C75" w:rsidRPr="00910652" w:rsidRDefault="000C2C75" w:rsidP="000C2C75">
      <w:pPr>
        <w:jc w:val="both"/>
        <w:rPr>
          <w:rFonts w:ascii="Garamond" w:eastAsia="Times New Roman" w:hAnsi="Garamond" w:cs="Times New Roman"/>
          <w:iCs/>
          <w:lang w:eastAsia="hr-HR"/>
        </w:rPr>
      </w:pPr>
      <w:r w:rsidRPr="00910652">
        <w:rPr>
          <w:rFonts w:ascii="Garamond" w:hAnsi="Garamond"/>
        </w:rPr>
        <w:tab/>
        <w:t>1. Poništava se postupak poziva na dostavu ponuda za predmet nabave „</w:t>
      </w:r>
      <w:r w:rsidRPr="00910652">
        <w:rPr>
          <w:rFonts w:ascii="Garamond" w:eastAsia="Times New Roman" w:hAnsi="Garamond" w:cs="Times New Roman"/>
          <w:iCs/>
          <w:lang w:eastAsia="hr-HR"/>
        </w:rPr>
        <w:t>Izvođenje radova na izgradnji oborinske odvodnje i uređenja Frankopanske ulice u Puntu“</w:t>
      </w:r>
      <w:r w:rsidRPr="00910652">
        <w:rPr>
          <w:rFonts w:ascii="Garamond" w:hAnsi="Garamond"/>
        </w:rPr>
        <w:t>, budući da nakon odbijanja ponud</w:t>
      </w:r>
      <w:r>
        <w:rPr>
          <w:rFonts w:ascii="Garamond" w:hAnsi="Garamond"/>
        </w:rPr>
        <w:t>a</w:t>
      </w:r>
      <w:r w:rsidRPr="00910652">
        <w:rPr>
          <w:rFonts w:ascii="Garamond" w:hAnsi="Garamond"/>
        </w:rPr>
        <w:t xml:space="preserve"> nije preostala nijedna valjana ponuda.</w:t>
      </w:r>
    </w:p>
    <w:p w14:paraId="07A87407" w14:textId="77777777" w:rsidR="000C2C75" w:rsidRPr="00910652" w:rsidRDefault="000C2C75" w:rsidP="000C2C75">
      <w:pPr>
        <w:jc w:val="both"/>
        <w:rPr>
          <w:rFonts w:ascii="Garamond" w:hAnsi="Garamond"/>
          <w:i/>
        </w:rPr>
      </w:pPr>
    </w:p>
    <w:p w14:paraId="6477DE19" w14:textId="77777777" w:rsidR="000C2C75" w:rsidRPr="00910652" w:rsidRDefault="000C2C75" w:rsidP="000C2C75">
      <w:pPr>
        <w:jc w:val="center"/>
        <w:rPr>
          <w:rFonts w:ascii="Garamond" w:hAnsi="Garamond"/>
          <w:b/>
        </w:rPr>
      </w:pPr>
      <w:r w:rsidRPr="00910652">
        <w:rPr>
          <w:rFonts w:ascii="Garamond" w:hAnsi="Garamond"/>
          <w:b/>
        </w:rPr>
        <w:t>O b r a z l o ž e n j e</w:t>
      </w:r>
    </w:p>
    <w:p w14:paraId="65904FB4" w14:textId="77777777" w:rsidR="000C2C75" w:rsidRPr="00910652" w:rsidRDefault="000C2C75" w:rsidP="000C2C75">
      <w:pPr>
        <w:jc w:val="both"/>
        <w:rPr>
          <w:rFonts w:ascii="Garamond" w:eastAsia="Times New Roman" w:hAnsi="Garamond" w:cs="Times New Roman"/>
          <w:iCs/>
          <w:lang w:eastAsia="hr-HR"/>
        </w:rPr>
      </w:pPr>
      <w:r w:rsidRPr="00910652">
        <w:rPr>
          <w:rFonts w:ascii="Garamond" w:hAnsi="Garamond"/>
        </w:rPr>
        <w:t xml:space="preserve">            Naručitelj Općina Punat temeljem članka 12. Pravilnika, proveo je postupak prikupljanja ponuda za predmet nabave „</w:t>
      </w:r>
      <w:r w:rsidRPr="00910652">
        <w:rPr>
          <w:rFonts w:ascii="Garamond" w:eastAsia="Times New Roman" w:hAnsi="Garamond" w:cs="Times New Roman"/>
          <w:iCs/>
          <w:lang w:eastAsia="hr-HR"/>
        </w:rPr>
        <w:t>Izvođenje radova na izgradnji oborinske odvodnje i uređenja Frankopanske ulice u Puntu</w:t>
      </w:r>
      <w:r w:rsidRPr="00910652">
        <w:rPr>
          <w:rFonts w:ascii="Garamond" w:hAnsi="Garamond"/>
        </w:rPr>
        <w:t>“, sukladno priloženom troškovniku.</w:t>
      </w:r>
    </w:p>
    <w:p w14:paraId="6C4E986F" w14:textId="2AA864D4" w:rsidR="000C2C75" w:rsidRPr="00910652" w:rsidRDefault="000C2C75" w:rsidP="000C2C75">
      <w:pPr>
        <w:ind w:firstLine="708"/>
        <w:jc w:val="both"/>
        <w:rPr>
          <w:rFonts w:ascii="Garamond" w:hAnsi="Garamond"/>
        </w:rPr>
      </w:pPr>
      <w:r w:rsidRPr="00910652">
        <w:rPr>
          <w:rFonts w:ascii="Garamond" w:hAnsi="Garamond"/>
        </w:rPr>
        <w:t xml:space="preserve">Poziv na dostavu ponuda objavljen je na Internet stranici Općine Punat dana </w:t>
      </w:r>
      <w:r>
        <w:rPr>
          <w:rFonts w:ascii="Garamond" w:hAnsi="Garamond"/>
        </w:rPr>
        <w:t>30</w:t>
      </w:r>
      <w:r w:rsidRPr="00910652">
        <w:rPr>
          <w:rFonts w:ascii="Garamond" w:hAnsi="Garamond"/>
        </w:rPr>
        <w:t xml:space="preserve">. </w:t>
      </w:r>
      <w:r>
        <w:rPr>
          <w:rFonts w:ascii="Garamond" w:hAnsi="Garamond"/>
        </w:rPr>
        <w:t>listopada</w:t>
      </w:r>
      <w:r w:rsidRPr="00910652">
        <w:rPr>
          <w:rFonts w:ascii="Garamond" w:hAnsi="Garamond"/>
        </w:rPr>
        <w:t xml:space="preserve"> 2025. godine. Rok za dostavu ponuda bio je </w:t>
      </w:r>
      <w:r>
        <w:rPr>
          <w:rFonts w:ascii="Garamond" w:hAnsi="Garamond"/>
        </w:rPr>
        <w:t>6</w:t>
      </w:r>
      <w:r w:rsidRPr="00910652">
        <w:rPr>
          <w:rFonts w:ascii="Garamond" w:hAnsi="Garamond"/>
        </w:rPr>
        <w:t>. s</w:t>
      </w:r>
      <w:r>
        <w:rPr>
          <w:rFonts w:ascii="Garamond" w:hAnsi="Garamond"/>
        </w:rPr>
        <w:t xml:space="preserve">tudenoga </w:t>
      </w:r>
      <w:r w:rsidRPr="00910652">
        <w:rPr>
          <w:rFonts w:ascii="Garamond" w:hAnsi="Garamond"/>
        </w:rPr>
        <w:t xml:space="preserve">2025. godine. Vrijednost nabave procijenjena je na iznos od </w:t>
      </w:r>
      <w:r>
        <w:rPr>
          <w:rFonts w:ascii="Garamond" w:hAnsi="Garamond"/>
        </w:rPr>
        <w:t>56.000,00</w:t>
      </w:r>
      <w:r w:rsidRPr="00910652">
        <w:rPr>
          <w:rFonts w:ascii="Garamond" w:hAnsi="Garamond"/>
        </w:rPr>
        <w:t xml:space="preserve"> eura + PDV.</w:t>
      </w:r>
    </w:p>
    <w:p w14:paraId="1E3AD7AF" w14:textId="1F322E07" w:rsidR="000C2C75" w:rsidRPr="00910652" w:rsidRDefault="000C2C75" w:rsidP="000C2C75">
      <w:pPr>
        <w:ind w:firstLine="708"/>
        <w:jc w:val="both"/>
        <w:rPr>
          <w:rFonts w:ascii="Garamond" w:hAnsi="Garamond"/>
        </w:rPr>
      </w:pPr>
      <w:r w:rsidRPr="00910652">
        <w:rPr>
          <w:rFonts w:ascii="Garamond" w:hAnsi="Garamond"/>
        </w:rPr>
        <w:t xml:space="preserve">U propisanom roku, do </w:t>
      </w:r>
      <w:r>
        <w:rPr>
          <w:rFonts w:ascii="Garamond" w:hAnsi="Garamond"/>
        </w:rPr>
        <w:t>6</w:t>
      </w:r>
      <w:r w:rsidRPr="00910652">
        <w:rPr>
          <w:rFonts w:ascii="Garamond" w:hAnsi="Garamond"/>
        </w:rPr>
        <w:t>. s</w:t>
      </w:r>
      <w:r>
        <w:rPr>
          <w:rFonts w:ascii="Garamond" w:hAnsi="Garamond"/>
        </w:rPr>
        <w:t>tudenoga</w:t>
      </w:r>
      <w:r w:rsidRPr="00910652">
        <w:rPr>
          <w:rFonts w:ascii="Garamond" w:hAnsi="Garamond"/>
        </w:rPr>
        <w:t xml:space="preserve"> 2025. godine do 1</w:t>
      </w:r>
      <w:r>
        <w:rPr>
          <w:rFonts w:ascii="Garamond" w:hAnsi="Garamond"/>
        </w:rPr>
        <w:t>2</w:t>
      </w:r>
      <w:r w:rsidRPr="00910652">
        <w:rPr>
          <w:rFonts w:ascii="Garamond" w:hAnsi="Garamond"/>
        </w:rPr>
        <w:t>,00 sati pristigl</w:t>
      </w:r>
      <w:r>
        <w:rPr>
          <w:rFonts w:ascii="Garamond" w:hAnsi="Garamond"/>
        </w:rPr>
        <w:t>e</w:t>
      </w:r>
      <w:r w:rsidRPr="00910652">
        <w:rPr>
          <w:rFonts w:ascii="Garamond" w:hAnsi="Garamond"/>
        </w:rPr>
        <w:t xml:space="preserve"> </w:t>
      </w:r>
      <w:r>
        <w:rPr>
          <w:rFonts w:ascii="Garamond" w:hAnsi="Garamond"/>
        </w:rPr>
        <w:t>su</w:t>
      </w:r>
      <w:r w:rsidRPr="00910652">
        <w:rPr>
          <w:rFonts w:ascii="Garamond" w:hAnsi="Garamond"/>
        </w:rPr>
        <w:t xml:space="preserve"> </w:t>
      </w:r>
      <w:r>
        <w:rPr>
          <w:rFonts w:ascii="Garamond" w:hAnsi="Garamond"/>
        </w:rPr>
        <w:t>dvije</w:t>
      </w:r>
      <w:r w:rsidRPr="00910652">
        <w:rPr>
          <w:rFonts w:ascii="Garamond" w:hAnsi="Garamond"/>
        </w:rPr>
        <w:t xml:space="preserve"> ponud</w:t>
      </w:r>
      <w:r>
        <w:rPr>
          <w:rFonts w:ascii="Garamond" w:hAnsi="Garamond"/>
        </w:rPr>
        <w:t>e</w:t>
      </w:r>
      <w:r w:rsidRPr="00910652">
        <w:rPr>
          <w:rFonts w:ascii="Garamond" w:hAnsi="Garamond"/>
        </w:rPr>
        <w:t xml:space="preserve"> gospodarsk</w:t>
      </w:r>
      <w:r>
        <w:rPr>
          <w:rFonts w:ascii="Garamond" w:hAnsi="Garamond"/>
        </w:rPr>
        <w:t>ih</w:t>
      </w:r>
      <w:r w:rsidRPr="00910652">
        <w:rPr>
          <w:rFonts w:ascii="Garamond" w:hAnsi="Garamond"/>
        </w:rPr>
        <w:t xml:space="preserve"> subjek</w:t>
      </w:r>
      <w:r>
        <w:rPr>
          <w:rFonts w:ascii="Garamond" w:hAnsi="Garamond"/>
        </w:rPr>
        <w:t>ata</w:t>
      </w:r>
      <w:r w:rsidRPr="00910652">
        <w:rPr>
          <w:rFonts w:ascii="Garamond" w:hAnsi="Garamond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ZIDARSKI OBRT „ZIDAR IVO“, vl. Vlado Kosić</w:t>
      </w:r>
      <w:r w:rsidRPr="00C01DD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KOGRAD KRK d.o.o. </w:t>
      </w:r>
      <w:r w:rsidRPr="00180B83">
        <w:rPr>
          <w:rFonts w:ascii="Garamond" w:hAnsi="Garamond"/>
        </w:rPr>
        <w:t xml:space="preserve"> </w:t>
      </w:r>
    </w:p>
    <w:p w14:paraId="527103B4" w14:textId="6499FF43" w:rsidR="000C2C75" w:rsidRPr="006000F8" w:rsidRDefault="000C2C75" w:rsidP="000C2C75">
      <w:pPr>
        <w:jc w:val="both"/>
        <w:rPr>
          <w:rFonts w:ascii="Garamond" w:hAnsi="Garamond"/>
        </w:rPr>
      </w:pPr>
      <w:r w:rsidRPr="00910652">
        <w:rPr>
          <w:rFonts w:ascii="Garamond" w:hAnsi="Garamond"/>
        </w:rPr>
        <w:tab/>
        <w:t>Na osnovi rezultata pregleda i ocjene,</w:t>
      </w:r>
      <w:r>
        <w:rPr>
          <w:rFonts w:ascii="Garamond" w:hAnsi="Garamond"/>
        </w:rPr>
        <w:t xml:space="preserve"> ponude ponuditelja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ZIDARSKI OBRT „ZIDAR IVO“, vl. Vlado Kosić</w:t>
      </w:r>
      <w:r w:rsidRPr="00C01DD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 KOGRAD KRK d.o.o. </w:t>
      </w:r>
      <w:r>
        <w:rPr>
          <w:rFonts w:ascii="Garamond" w:hAnsi="Garamond"/>
        </w:rPr>
        <w:t xml:space="preserve">odbijaju se budući da nisu dostavili dokaz iz točke </w:t>
      </w:r>
      <w:r w:rsidRPr="00180B83">
        <w:rPr>
          <w:rFonts w:ascii="Garamond" w:hAnsi="Garamond"/>
        </w:rPr>
        <w:t>7.1. Poziva, odnosno ni</w:t>
      </w:r>
      <w:r>
        <w:rPr>
          <w:rFonts w:ascii="Garamond" w:hAnsi="Garamond"/>
        </w:rPr>
        <w:t>su</w:t>
      </w:r>
      <w:r w:rsidRPr="00180B83">
        <w:rPr>
          <w:rFonts w:ascii="Garamond" w:hAnsi="Garamond"/>
        </w:rPr>
        <w:t xml:space="preserve"> dostavi</w:t>
      </w:r>
      <w:r>
        <w:rPr>
          <w:rFonts w:ascii="Garamond" w:hAnsi="Garamond"/>
        </w:rPr>
        <w:t>li</w:t>
      </w:r>
      <w:r w:rsidRPr="00180B83">
        <w:rPr>
          <w:rFonts w:ascii="Garamond" w:hAnsi="Garamond"/>
        </w:rPr>
        <w:t xml:space="preserve"> popis prethodno izvršenih istih ili sličnih </w:t>
      </w:r>
      <w:r>
        <w:rPr>
          <w:rFonts w:ascii="Garamond" w:hAnsi="Garamond"/>
        </w:rPr>
        <w:t xml:space="preserve">radova </w:t>
      </w:r>
      <w:r w:rsidRPr="00180B83">
        <w:rPr>
          <w:rFonts w:ascii="Garamond" w:hAnsi="Garamond"/>
        </w:rPr>
        <w:t>pruženih u godini u kojoj je započeo postupak nabave i tijekom tri godine koje prethode toj godini</w:t>
      </w:r>
      <w:r>
        <w:rPr>
          <w:rFonts w:ascii="Garamond" w:hAnsi="Garamond"/>
        </w:rPr>
        <w:t xml:space="preserve"> sa propisanim sadržajem.</w:t>
      </w:r>
    </w:p>
    <w:p w14:paraId="54A7F3E5" w14:textId="77777777" w:rsidR="000C2C75" w:rsidRPr="006000F8" w:rsidRDefault="000C2C75" w:rsidP="000C2C75">
      <w:pPr>
        <w:jc w:val="both"/>
        <w:rPr>
          <w:rFonts w:ascii="Garamond" w:hAnsi="Garamond"/>
        </w:rPr>
      </w:pPr>
      <w:r w:rsidRPr="006000F8">
        <w:rPr>
          <w:rFonts w:ascii="Garamond" w:hAnsi="Garamond"/>
        </w:rPr>
        <w:tab/>
        <w:t>Sukladno članku 298. Zakona o javnoj nabavi („Narodne novine“ broj 120/16</w:t>
      </w:r>
      <w:r>
        <w:rPr>
          <w:rFonts w:ascii="Garamond" w:hAnsi="Garamond"/>
        </w:rPr>
        <w:t xml:space="preserve"> i 114/22</w:t>
      </w:r>
      <w:r w:rsidRPr="006000F8">
        <w:rPr>
          <w:rFonts w:ascii="Garamond" w:hAnsi="Garamond"/>
        </w:rPr>
        <w:t xml:space="preserve">) provedeni postupak poništava se iz razloga što </w:t>
      </w:r>
      <w:r>
        <w:rPr>
          <w:rFonts w:ascii="Garamond" w:hAnsi="Garamond"/>
        </w:rPr>
        <w:t>nakon isključenja ponuditelja ili odbijanja ponude nije preostala nijedna valjana ponuda.</w:t>
      </w:r>
    </w:p>
    <w:p w14:paraId="4A447A6C" w14:textId="77777777" w:rsidR="000C2C75" w:rsidRPr="006000F8" w:rsidRDefault="000C2C75" w:rsidP="000C2C75">
      <w:pPr>
        <w:jc w:val="both"/>
        <w:rPr>
          <w:rFonts w:ascii="Garamond" w:hAnsi="Garamond"/>
        </w:rPr>
      </w:pPr>
      <w:r w:rsidRPr="006000F8">
        <w:rPr>
          <w:rFonts w:ascii="Garamond" w:hAnsi="Garamond"/>
        </w:rPr>
        <w:tab/>
        <w:t>Slijedom navedenog odlučeno je kao u izreci.</w:t>
      </w:r>
    </w:p>
    <w:p w14:paraId="40196018" w14:textId="77777777" w:rsidR="000C2C75" w:rsidRPr="006000F8" w:rsidRDefault="000C2C75" w:rsidP="000C2C75">
      <w:pPr>
        <w:jc w:val="both"/>
        <w:rPr>
          <w:rFonts w:ascii="Garamond" w:hAnsi="Garamond"/>
        </w:rPr>
      </w:pPr>
    </w:p>
    <w:p w14:paraId="288850E9" w14:textId="77777777" w:rsidR="000C2C75" w:rsidRPr="006000F8" w:rsidRDefault="000C2C75" w:rsidP="000C2C75">
      <w:pPr>
        <w:jc w:val="both"/>
        <w:rPr>
          <w:rFonts w:ascii="Garamond" w:hAnsi="Garamond"/>
        </w:rPr>
      </w:pPr>
    </w:p>
    <w:p w14:paraId="18A4ABEF" w14:textId="26EBEF59" w:rsidR="000C2C75" w:rsidRPr="006000F8" w:rsidRDefault="000C2C75" w:rsidP="00982671">
      <w:pPr>
        <w:jc w:val="both"/>
        <w:rPr>
          <w:rFonts w:ascii="Garamond" w:hAnsi="Garamond"/>
        </w:rPr>
      </w:pP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>
        <w:rPr>
          <w:rFonts w:ascii="Garamond" w:hAnsi="Garamond"/>
        </w:rPr>
        <w:t xml:space="preserve">        </w:t>
      </w:r>
      <w:r w:rsidRPr="006000F8">
        <w:rPr>
          <w:rFonts w:ascii="Garamond" w:hAnsi="Garamond"/>
        </w:rPr>
        <w:t>OPĆINSKI NAČELNIK</w:t>
      </w:r>
    </w:p>
    <w:p w14:paraId="0064BC55" w14:textId="5096F4D6" w:rsidR="000C2C75" w:rsidRPr="006000F8" w:rsidRDefault="000C2C75" w:rsidP="000C2C75">
      <w:pPr>
        <w:rPr>
          <w:rFonts w:ascii="Garamond" w:hAnsi="Garamond"/>
        </w:rPr>
      </w:pP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 w:rsidRPr="006000F8">
        <w:rPr>
          <w:rFonts w:ascii="Garamond" w:hAnsi="Garamond"/>
        </w:rPr>
        <w:tab/>
      </w:r>
      <w:r>
        <w:rPr>
          <w:rFonts w:ascii="Garamond" w:hAnsi="Garamond"/>
        </w:rPr>
        <w:t xml:space="preserve">         Daniel Strčić, bacc.inf.</w:t>
      </w:r>
      <w:r w:rsidR="00982671">
        <w:rPr>
          <w:rFonts w:ascii="Garamond" w:hAnsi="Garamond"/>
        </w:rPr>
        <w:t>,v.r.</w:t>
      </w:r>
    </w:p>
    <w:p w14:paraId="3399A773" w14:textId="77777777" w:rsidR="000C2C75" w:rsidRPr="006000F8" w:rsidRDefault="000C2C75" w:rsidP="000C2C75">
      <w:pPr>
        <w:rPr>
          <w:rFonts w:ascii="Garamond" w:hAnsi="Garamond"/>
        </w:rPr>
      </w:pPr>
      <w:r w:rsidRPr="006000F8">
        <w:rPr>
          <w:rFonts w:ascii="Garamond" w:hAnsi="Garamond"/>
        </w:rPr>
        <w:tab/>
      </w:r>
    </w:p>
    <w:p w14:paraId="0C86668D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8921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C2C75"/>
    <w:rsid w:val="0038778A"/>
    <w:rsid w:val="007713D8"/>
    <w:rsid w:val="008539E2"/>
    <w:rsid w:val="008A562A"/>
    <w:rsid w:val="00961862"/>
    <w:rsid w:val="00982671"/>
    <w:rsid w:val="00A836D0"/>
    <w:rsid w:val="00AC35DA"/>
    <w:rsid w:val="00B92D0F"/>
    <w:rsid w:val="00D707B3"/>
    <w:rsid w:val="00DB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96C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Nataša Kleković</cp:lastModifiedBy>
  <cp:revision>2</cp:revision>
  <cp:lastPrinted>2025-11-07T11:52:00Z</cp:lastPrinted>
  <dcterms:created xsi:type="dcterms:W3CDTF">2025-11-07T12:42:00Z</dcterms:created>
  <dcterms:modified xsi:type="dcterms:W3CDTF">2025-11-07T12:42:00Z</dcterms:modified>
</cp:coreProperties>
</file>