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7C85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ind w:left="7920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-</w:t>
      </w:r>
      <w:r>
        <w:rPr>
          <w:rFonts w:ascii="Garamond" w:eastAsia="Times New Roman" w:hAnsi="Garamond"/>
          <w:b/>
          <w:bCs/>
          <w:kern w:val="0"/>
          <w:lang w:eastAsia="zh-CN"/>
        </w:rPr>
        <w:t>Prijedlog</w:t>
      </w:r>
      <w:r>
        <w:rPr>
          <w:rFonts w:ascii="Garamond" w:eastAsia="Times New Roman" w:hAnsi="Garamond"/>
          <w:kern w:val="0"/>
          <w:lang w:eastAsia="zh-CN"/>
        </w:rPr>
        <w:t>-</w:t>
      </w:r>
    </w:p>
    <w:p w14:paraId="4EF0C086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 xml:space="preserve">Na temelju članka 2 i 49. </w:t>
      </w:r>
      <w:r>
        <w:rPr>
          <w:rFonts w:ascii="Garamond" w:eastAsia="Times New Roman" w:hAnsi="Garamond" w:cs="Arial"/>
          <w:kern w:val="0"/>
          <w:lang w:eastAsia="zh-CN"/>
        </w:rPr>
        <w:t>Zakona o predškolskom odgoju i obrazovanju („Narodne novine“ broj 10*97, 107/074/, 94/13, 98/19, 57/22 i 101/23)</w:t>
      </w:r>
      <w:r>
        <w:rPr>
          <w:rFonts w:ascii="Garamond" w:eastAsia="Times New Roman" w:hAnsi="Garamond"/>
          <w:kern w:val="0"/>
          <w:lang w:eastAsia="zh-CN"/>
        </w:rPr>
        <w:t xml:space="preserve"> i članka 32. Statuta Općine Punat ("Službene novine Primorsko-goranske županije" broj 36/22) Općinsko vijeće Općine Punat na 4. sjednici održanoj_____________2025. godine donosi</w:t>
      </w:r>
    </w:p>
    <w:p w14:paraId="0516B617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535448ED" w14:textId="77777777" w:rsidR="00C75B9A" w:rsidRDefault="00C75B9A" w:rsidP="00C75B9A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zh-CN"/>
        </w:rPr>
      </w:pPr>
      <w:r>
        <w:rPr>
          <w:rFonts w:ascii="Garamond" w:eastAsia="Times New Roman" w:hAnsi="Garamond" w:cs="Arial"/>
          <w:b/>
          <w:kern w:val="0"/>
          <w:lang w:eastAsia="zh-CN"/>
        </w:rPr>
        <w:t>ODLUKA</w:t>
      </w:r>
    </w:p>
    <w:p w14:paraId="637E8B41" w14:textId="77777777" w:rsidR="00C75B9A" w:rsidRDefault="00C75B9A" w:rsidP="00C75B9A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zh-CN"/>
        </w:rPr>
      </w:pPr>
      <w:r>
        <w:rPr>
          <w:rFonts w:ascii="Garamond" w:eastAsia="Times New Roman" w:hAnsi="Garamond" w:cs="Arial"/>
          <w:b/>
          <w:kern w:val="0"/>
          <w:lang w:eastAsia="zh-CN"/>
        </w:rPr>
        <w:t xml:space="preserve">o sufinanciranju predškolske ustanove </w:t>
      </w:r>
    </w:p>
    <w:p w14:paraId="08B130AE" w14:textId="77777777" w:rsidR="00C75B9A" w:rsidRDefault="00C75B9A" w:rsidP="00C75B9A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bCs/>
          <w:kern w:val="0"/>
          <w:lang w:eastAsia="zh-CN"/>
        </w:rPr>
      </w:pPr>
      <w:r>
        <w:rPr>
          <w:rFonts w:ascii="Garamond" w:eastAsia="Times New Roman" w:hAnsi="Garamond" w:cs="Arial"/>
          <w:b/>
          <w:kern w:val="0"/>
          <w:lang w:eastAsia="zh-CN"/>
        </w:rPr>
        <w:t>Dječji vrtić „Svete Male Terezije“ Zagreb, Podružnica Punat</w:t>
      </w:r>
    </w:p>
    <w:p w14:paraId="10A5448D" w14:textId="77777777" w:rsidR="00C75B9A" w:rsidRDefault="00C75B9A" w:rsidP="00C75B9A">
      <w:pPr>
        <w:widowControl w:val="0"/>
        <w:tabs>
          <w:tab w:val="left" w:pos="709"/>
          <w:tab w:val="left" w:pos="7088"/>
        </w:tabs>
        <w:suppressAutoHyphens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bCs/>
          <w:kern w:val="0"/>
          <w:lang w:eastAsia="zh-CN"/>
        </w:rPr>
      </w:pPr>
    </w:p>
    <w:p w14:paraId="2F4397AF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4F1EF2D5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7156C28C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1.</w:t>
      </w:r>
    </w:p>
    <w:p w14:paraId="287267A7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47FF2FA2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 xml:space="preserve">Ovom Odlukom utvrđuju se kriteriji i način kojim Općina Punat (u daljnjem tekstu: Općina) sufinancira program predškolskog odgoja -  </w:t>
      </w:r>
      <w:proofErr w:type="spellStart"/>
      <w:r>
        <w:rPr>
          <w:rFonts w:ascii="Garamond" w:eastAsia="Times New Roman" w:hAnsi="Garamond"/>
          <w:color w:val="000000"/>
          <w:kern w:val="0"/>
          <w:lang w:eastAsia="zh-CN"/>
        </w:rPr>
        <w:t>jaslični</w:t>
      </w:r>
      <w:proofErr w:type="spellEnd"/>
      <w:r>
        <w:rPr>
          <w:rFonts w:ascii="Garamond" w:eastAsia="Times New Roman" w:hAnsi="Garamond"/>
          <w:color w:val="000000"/>
          <w:kern w:val="0"/>
          <w:lang w:eastAsia="zh-CN"/>
        </w:rPr>
        <w:t xml:space="preserve"> program Dječjeg vrtića „Svete Male Terezije“, Zagreb, Podružnice Punat (u daljnjem tekstu: Dječji vrtić).</w:t>
      </w:r>
    </w:p>
    <w:p w14:paraId="23D33C02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</w:p>
    <w:p w14:paraId="79B1F09D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Odredbe ove Odluke koje se odnose na roditelje na odgovarajući način se primjenjuju i na posvojitelje, udomitelje i druge skrbnike djece koja pohađaju Dječji vrtić.</w:t>
      </w:r>
    </w:p>
    <w:p w14:paraId="3A68B9B6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</w:p>
    <w:p w14:paraId="5EA94C90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2.</w:t>
      </w:r>
    </w:p>
    <w:p w14:paraId="1FEB1B2A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</w:p>
    <w:p w14:paraId="197DCE7C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Općina Punat sufinancirati će troškove boravka koje plaćaju roditelji za boravak upisane djece – korisnika usluga u Dječjem vrtić uz uvjet da dijete – korisnik usluge ima prebivalište u Općini Punat.</w:t>
      </w:r>
    </w:p>
    <w:p w14:paraId="4C05F8DD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</w:p>
    <w:p w14:paraId="0A6735AE" w14:textId="7A41DE9C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3.</w:t>
      </w:r>
    </w:p>
    <w:p w14:paraId="34830464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214C424D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Visina mjesečne roditeljske uplate po djetetu iznosi 95,00 EUR.</w:t>
      </w:r>
    </w:p>
    <w:p w14:paraId="059852E0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3FB0191E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Roditeljska uplata umanjuje se ukoliko roditelji imaju više djece, a djeca su upisana u</w:t>
      </w:r>
      <w:r>
        <w:rPr>
          <w:rFonts w:ascii="Garamond" w:eastAsia="Times New Roman" w:hAnsi="Garamond"/>
          <w:color w:val="000000"/>
          <w:kern w:val="0"/>
          <w:lang w:eastAsia="zh-CN"/>
        </w:rPr>
        <w:t xml:space="preserve"> </w:t>
      </w:r>
      <w:proofErr w:type="spellStart"/>
      <w:r>
        <w:rPr>
          <w:rFonts w:ascii="Garamond" w:eastAsia="Times New Roman" w:hAnsi="Garamond"/>
          <w:color w:val="000000"/>
          <w:kern w:val="0"/>
          <w:lang w:eastAsia="zh-CN"/>
        </w:rPr>
        <w:t>jaslični</w:t>
      </w:r>
      <w:proofErr w:type="spellEnd"/>
      <w:r>
        <w:rPr>
          <w:rFonts w:ascii="Garamond" w:eastAsia="Times New Roman" w:hAnsi="Garamond"/>
          <w:color w:val="000000"/>
          <w:kern w:val="0"/>
          <w:lang w:eastAsia="zh-CN"/>
        </w:rPr>
        <w:t xml:space="preserve"> program Dječjeg vrtića „Svete Male Terezije“, Zagreb, Podružnice Punat,</w:t>
      </w:r>
      <w:r>
        <w:rPr>
          <w:rFonts w:ascii="Garamond" w:eastAsia="Times New Roman" w:hAnsi="Garamond"/>
          <w:kern w:val="0"/>
          <w:lang w:eastAsia="zh-CN"/>
        </w:rPr>
        <w:t xml:space="preserve"> </w:t>
      </w:r>
      <w:proofErr w:type="spellStart"/>
      <w:r>
        <w:rPr>
          <w:rFonts w:ascii="Garamond" w:eastAsia="Times New Roman" w:hAnsi="Garamond"/>
          <w:color w:val="000000"/>
          <w:kern w:val="0"/>
          <w:lang w:eastAsia="zh-CN"/>
        </w:rPr>
        <w:t>vrtićni</w:t>
      </w:r>
      <w:proofErr w:type="spellEnd"/>
      <w:r>
        <w:rPr>
          <w:rFonts w:ascii="Garamond" w:eastAsia="Times New Roman" w:hAnsi="Garamond"/>
          <w:color w:val="000000"/>
          <w:kern w:val="0"/>
          <w:lang w:eastAsia="zh-CN"/>
        </w:rPr>
        <w:t xml:space="preserve"> program Dječjeg vrtića „Katarina Frankopan“, Područnog vrtića Punat</w:t>
      </w:r>
      <w:r>
        <w:rPr>
          <w:rFonts w:ascii="Garamond" w:eastAsia="Times New Roman" w:hAnsi="Garamond"/>
          <w:kern w:val="0"/>
          <w:lang w:eastAsia="zh-CN"/>
        </w:rPr>
        <w:t xml:space="preserve"> </w:t>
      </w:r>
      <w:r>
        <w:rPr>
          <w:rFonts w:ascii="Garamond" w:eastAsia="Times New Roman" w:hAnsi="Garamond"/>
          <w:color w:val="000000"/>
          <w:kern w:val="0"/>
          <w:lang w:eastAsia="zh-CN"/>
        </w:rPr>
        <w:t xml:space="preserve">ili </w:t>
      </w:r>
      <w:proofErr w:type="spellStart"/>
      <w:r>
        <w:rPr>
          <w:rFonts w:ascii="Garamond" w:eastAsia="Times New Roman" w:hAnsi="Garamond"/>
          <w:color w:val="000000"/>
          <w:kern w:val="0"/>
          <w:lang w:eastAsia="zh-CN"/>
        </w:rPr>
        <w:t>jaslični</w:t>
      </w:r>
      <w:proofErr w:type="spellEnd"/>
      <w:r>
        <w:rPr>
          <w:rFonts w:ascii="Garamond" w:eastAsia="Times New Roman" w:hAnsi="Garamond"/>
          <w:color w:val="000000"/>
          <w:kern w:val="0"/>
          <w:lang w:eastAsia="zh-CN"/>
        </w:rPr>
        <w:t xml:space="preserve"> i </w:t>
      </w:r>
      <w:proofErr w:type="spellStart"/>
      <w:r>
        <w:rPr>
          <w:rFonts w:ascii="Garamond" w:eastAsia="Times New Roman" w:hAnsi="Garamond"/>
          <w:color w:val="000000"/>
          <w:kern w:val="0"/>
          <w:lang w:eastAsia="zh-CN"/>
        </w:rPr>
        <w:t>vrtićni</w:t>
      </w:r>
      <w:proofErr w:type="spellEnd"/>
      <w:r>
        <w:rPr>
          <w:rFonts w:ascii="Garamond" w:eastAsia="Times New Roman" w:hAnsi="Garamond"/>
          <w:color w:val="000000"/>
          <w:kern w:val="0"/>
          <w:lang w:eastAsia="zh-CN"/>
        </w:rPr>
        <w:t xml:space="preserve"> program Dječjeg vrtića „Katarina Frankopan“, ostalih područnih vrtića na području otoka Krka.</w:t>
      </w:r>
    </w:p>
    <w:p w14:paraId="61C06126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2C5BD30F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Iznos roditeljske uplate iz stavka 1. ovog članka umanjuje</w:t>
      </w:r>
      <w:r>
        <w:rPr>
          <w:rFonts w:ascii="Garamond" w:eastAsia="Times New Roman" w:hAnsi="Garamond"/>
          <w:color w:val="000000"/>
          <w:kern w:val="0"/>
          <w:lang w:eastAsia="zh-CN"/>
        </w:rPr>
        <w:t xml:space="preserve"> se </w:t>
      </w:r>
      <w:r>
        <w:rPr>
          <w:rFonts w:ascii="Garamond" w:eastAsia="Times New Roman" w:hAnsi="Garamond"/>
          <w:kern w:val="0"/>
          <w:lang w:eastAsia="zh-CN"/>
        </w:rPr>
        <w:t>prema sljedećim mjerilima:</w:t>
      </w:r>
    </w:p>
    <w:p w14:paraId="59BCC1A3" w14:textId="77777777" w:rsidR="00C75B9A" w:rsidRDefault="00C75B9A" w:rsidP="00C75B9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Za drugo dijete koje istovremeno pohađa dječji vrtić 25%</w:t>
      </w:r>
    </w:p>
    <w:p w14:paraId="395D663A" w14:textId="77777777" w:rsidR="00C75B9A" w:rsidRDefault="00C75B9A" w:rsidP="00C75B9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Za treće dijete koje istovremeno pohađa dječji vrtić 50%</w:t>
      </w:r>
    </w:p>
    <w:p w14:paraId="4F279B02" w14:textId="77777777" w:rsidR="00C75B9A" w:rsidRDefault="00C75B9A" w:rsidP="00C75B9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Za četvrto dijete koje istovremeno pohađa vrtić 70%</w:t>
      </w:r>
    </w:p>
    <w:p w14:paraId="3D7270B2" w14:textId="77777777" w:rsidR="00C75B9A" w:rsidRDefault="00C75B9A" w:rsidP="00C75B9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Za djecu samohranog roditelja 25%</w:t>
      </w:r>
    </w:p>
    <w:p w14:paraId="6A5A35C0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</w:p>
    <w:p w14:paraId="21CD05D5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Roditelji ostvaruju pravo na umanjenje roditeljske uplate temeljem dostavljene potvrde o upisanoj djeci.</w:t>
      </w:r>
    </w:p>
    <w:p w14:paraId="51657240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4.</w:t>
      </w:r>
    </w:p>
    <w:p w14:paraId="3BDCF218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</w:p>
    <w:p w14:paraId="26404B53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Dječji vrtić obvezan je Općini Punat jednom mjesečno uz izdan račun dostaviti ukupan broj djece koja pohađaju Dječji vrtić, odnosno broj djece s prebivalištem na području Općine Punat.</w:t>
      </w:r>
    </w:p>
    <w:p w14:paraId="0B96895F" w14:textId="77777777" w:rsidR="00C75B9A" w:rsidRDefault="00C75B9A" w:rsidP="00C75B9A">
      <w:pPr>
        <w:widowControl w:val="0"/>
        <w:suppressAutoHyphens/>
        <w:autoSpaceDE w:val="0"/>
        <w:autoSpaceDN w:val="0"/>
        <w:spacing w:before="17" w:after="0" w:line="240" w:lineRule="auto"/>
        <w:ind w:right="3590"/>
        <w:rPr>
          <w:rFonts w:ascii="Garamond" w:eastAsia="Times New Roman" w:hAnsi="Garamond"/>
          <w:kern w:val="0"/>
          <w:lang w:eastAsia="zh-CN"/>
        </w:rPr>
      </w:pPr>
    </w:p>
    <w:p w14:paraId="2920A94D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Sredstva iz članka 3. ove Odluke uplaćuju se Dječjem vrtiću temeljem ispostavljenog računa</w:t>
      </w:r>
    </w:p>
    <w:p w14:paraId="2705F64A" w14:textId="77777777" w:rsidR="00C75B9A" w:rsidRDefault="00C75B9A" w:rsidP="00C75B9A">
      <w:pPr>
        <w:widowControl w:val="0"/>
        <w:suppressAutoHyphens/>
        <w:autoSpaceDE w:val="0"/>
        <w:autoSpaceDN w:val="0"/>
        <w:spacing w:before="17" w:after="0" w:line="240" w:lineRule="auto"/>
        <w:ind w:right="3590"/>
        <w:rPr>
          <w:rFonts w:ascii="Garamond" w:eastAsia="Times New Roman" w:hAnsi="Garamond"/>
          <w:color w:val="000000"/>
          <w:kern w:val="0"/>
          <w:lang w:eastAsia="zh-CN"/>
        </w:rPr>
      </w:pPr>
    </w:p>
    <w:p w14:paraId="6D53F931" w14:textId="77777777" w:rsidR="00C75B9A" w:rsidRDefault="00C75B9A" w:rsidP="00C75B9A">
      <w:pPr>
        <w:widowControl w:val="0"/>
        <w:suppressAutoHyphens/>
        <w:autoSpaceDE w:val="0"/>
        <w:autoSpaceDN w:val="0"/>
        <w:spacing w:before="17" w:after="0" w:line="240" w:lineRule="auto"/>
        <w:ind w:right="3590"/>
        <w:rPr>
          <w:rFonts w:ascii="Garamond" w:eastAsia="Times New Roman" w:hAnsi="Garamond"/>
          <w:b/>
          <w:bCs/>
          <w:color w:val="2D2D2D"/>
          <w:w w:val="110"/>
          <w:kern w:val="0"/>
          <w:sz w:val="20"/>
          <w:szCs w:val="20"/>
        </w:rPr>
      </w:pPr>
    </w:p>
    <w:p w14:paraId="28F69EB0" w14:textId="77777777" w:rsidR="00C75B9A" w:rsidRDefault="00C75B9A" w:rsidP="00C75B9A">
      <w:pPr>
        <w:widowControl w:val="0"/>
        <w:tabs>
          <w:tab w:val="left" w:pos="3675"/>
        </w:tabs>
        <w:suppressAutoHyphens/>
        <w:autoSpaceDE w:val="0"/>
        <w:autoSpaceDN w:val="0"/>
        <w:spacing w:after="0" w:line="240" w:lineRule="auto"/>
        <w:ind w:right="3590"/>
        <w:jc w:val="center"/>
        <w:rPr>
          <w:rFonts w:ascii="Garamond" w:eastAsia="Times New Roman" w:hAnsi="Garamond"/>
          <w:w w:val="110"/>
          <w:kern w:val="0"/>
        </w:rPr>
      </w:pPr>
      <w:r>
        <w:rPr>
          <w:rFonts w:ascii="Garamond" w:eastAsia="Times New Roman" w:hAnsi="Garamond"/>
          <w:w w:val="110"/>
          <w:kern w:val="0"/>
        </w:rPr>
        <w:lastRenderedPageBreak/>
        <w:t xml:space="preserve">                                                       Članak 5.</w:t>
      </w:r>
    </w:p>
    <w:p w14:paraId="183289D3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color w:val="000000"/>
          <w:kern w:val="0"/>
          <w:lang w:eastAsia="zh-CN"/>
        </w:rPr>
      </w:pPr>
    </w:p>
    <w:p w14:paraId="65DE2CDB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Stupanjem na snagu ove Odluke prestaje važiti Sporazum o sufinanciranju predškolske ustanove Dječji vrtić „Svete Male Terezije“ Zagreb, Podružnica Punat KLASA:601-01/10-01/2, URBROJ:2142-02-02-2-10-5 od 28. lipnja 2010. godine.</w:t>
      </w:r>
    </w:p>
    <w:p w14:paraId="176BB929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</w:p>
    <w:p w14:paraId="1AAB0714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Članak 6.</w:t>
      </w:r>
    </w:p>
    <w:p w14:paraId="101B16AF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color w:val="000000"/>
          <w:kern w:val="0"/>
          <w:lang w:eastAsia="zh-CN"/>
        </w:rPr>
      </w:pPr>
    </w:p>
    <w:p w14:paraId="2E3B520C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Ova Odluka stupa na snagu osmog dana od dana objave u „Službenim novinama Primorsko- goranske županije“.</w:t>
      </w:r>
    </w:p>
    <w:p w14:paraId="6239656C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4EF4C743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OPĆINSKO VIJEĆE</w:t>
      </w:r>
    </w:p>
    <w:p w14:paraId="1F8D25D1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OPĆINE PUNAT</w:t>
      </w:r>
    </w:p>
    <w:p w14:paraId="04F0798D" w14:textId="77777777" w:rsidR="00C75B9A" w:rsidRDefault="00C75B9A" w:rsidP="00C75B9A">
      <w:pPr>
        <w:widowControl w:val="0"/>
        <w:tabs>
          <w:tab w:val="left" w:pos="6810"/>
        </w:tabs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ab/>
      </w:r>
    </w:p>
    <w:p w14:paraId="1873D9A9" w14:textId="77777777" w:rsidR="00C75B9A" w:rsidRDefault="00C75B9A" w:rsidP="00C75B9A">
      <w:pPr>
        <w:widowControl w:val="0"/>
        <w:tabs>
          <w:tab w:val="left" w:pos="6810"/>
        </w:tabs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ab/>
        <w:t xml:space="preserve">     PREDSJEDNIK</w:t>
      </w:r>
    </w:p>
    <w:p w14:paraId="2F71EE27" w14:textId="77777777" w:rsidR="00C75B9A" w:rsidRDefault="00C75B9A" w:rsidP="00C75B9A">
      <w:pPr>
        <w:widowControl w:val="0"/>
        <w:tabs>
          <w:tab w:val="left" w:pos="6810"/>
        </w:tabs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ab/>
        <w:t>Ivan Orlić, mag.cin.,</w:t>
      </w:r>
      <w:proofErr w:type="spellStart"/>
      <w:r>
        <w:rPr>
          <w:rFonts w:ascii="Garamond" w:eastAsia="Times New Roman" w:hAnsi="Garamond"/>
          <w:kern w:val="0"/>
          <w:lang w:eastAsia="zh-CN"/>
        </w:rPr>
        <w:t>v.r</w:t>
      </w:r>
      <w:proofErr w:type="spellEnd"/>
      <w:r>
        <w:rPr>
          <w:rFonts w:ascii="Garamond" w:eastAsia="Times New Roman" w:hAnsi="Garamond"/>
          <w:kern w:val="0"/>
          <w:lang w:eastAsia="zh-CN"/>
        </w:rPr>
        <w:t>.</w:t>
      </w:r>
    </w:p>
    <w:p w14:paraId="40CA2C21" w14:textId="77777777" w:rsidR="00C75B9A" w:rsidRDefault="00C75B9A" w:rsidP="00C75B9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zh-CN"/>
        </w:rPr>
      </w:pPr>
    </w:p>
    <w:p w14:paraId="270BBF4A" w14:textId="77777777" w:rsidR="00C75B9A" w:rsidRDefault="00C75B9A" w:rsidP="00C75B9A"/>
    <w:p w14:paraId="6AD1ACD5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81D"/>
    <w:multiLevelType w:val="hybridMultilevel"/>
    <w:tmpl w:val="E2705EFE"/>
    <w:lvl w:ilvl="0" w:tplc="B8BC953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457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9A"/>
    <w:rsid w:val="006F777A"/>
    <w:rsid w:val="0077732D"/>
    <w:rsid w:val="00C75B9A"/>
    <w:rsid w:val="00F7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AEE7"/>
  <w15:chartTrackingRefBased/>
  <w15:docId w15:val="{4919F044-12D3-4058-AB81-54146D00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9A"/>
    <w:pPr>
      <w:spacing w:line="276" w:lineRule="auto"/>
    </w:pPr>
    <w:rPr>
      <w:rFonts w:ascii="Aptos" w:eastAsia="Aptos" w:hAnsi="Aptos" w:cs="Times New Roma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B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B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B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B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B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B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5B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5B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5B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B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2025-11-19T13:47:00Z</dcterms:created>
  <dcterms:modified xsi:type="dcterms:W3CDTF">2025-11-19T13:50:00Z</dcterms:modified>
</cp:coreProperties>
</file>