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57CCF" w14:textId="7D4BDE87" w:rsidR="00861CC2" w:rsidRDefault="00861CC2" w:rsidP="00861CC2">
      <w:pPr>
        <w:tabs>
          <w:tab w:val="left" w:pos="1134"/>
          <w:tab w:val="right" w:pos="9072"/>
        </w:tabs>
        <w:spacing w:after="0"/>
        <w:jc w:val="both"/>
        <w:outlineLvl w:val="0"/>
        <w:rPr>
          <w:b/>
        </w:rPr>
      </w:pPr>
      <w:bookmarkStart w:id="0" w:name="_Hlk96503358"/>
      <w:r w:rsidRPr="00CB3BD4">
        <w:rPr>
          <w:b/>
        </w:rPr>
        <w:t xml:space="preserve">Predmet: </w:t>
      </w:r>
      <w:bookmarkStart w:id="1" w:name="_Hlk213848448"/>
      <w:r>
        <w:rPr>
          <w:b/>
        </w:rPr>
        <w:t xml:space="preserve">Projektni zadatak za izradu </w:t>
      </w:r>
      <w:bookmarkStart w:id="2" w:name="_Hlk213848080"/>
      <w:r>
        <w:rPr>
          <w:b/>
        </w:rPr>
        <w:t>natječajnog elaborata za izradu idejnog arhitektonsko urbanističkog rješenja Centra za starije i dječjeg vrtića na k.č. 8685/1, 8685/3, 8685/2, 8685/5 i 8652/1 sve k.o. Punat</w:t>
      </w:r>
      <w:bookmarkEnd w:id="1"/>
      <w:bookmarkEnd w:id="2"/>
    </w:p>
    <w:p w14:paraId="35B1E26C" w14:textId="77777777" w:rsidR="00861CC2" w:rsidRDefault="00861CC2" w:rsidP="00861CC2">
      <w:pPr>
        <w:tabs>
          <w:tab w:val="left" w:pos="1134"/>
          <w:tab w:val="right" w:pos="9072"/>
        </w:tabs>
        <w:spacing w:after="0"/>
        <w:jc w:val="both"/>
        <w:outlineLvl w:val="0"/>
        <w:rPr>
          <w:b/>
        </w:rPr>
      </w:pPr>
    </w:p>
    <w:p w14:paraId="04481F2E" w14:textId="77777777" w:rsidR="00861CC2" w:rsidRPr="00F52BF0" w:rsidRDefault="00861CC2" w:rsidP="00861CC2">
      <w:pPr>
        <w:pBdr>
          <w:bottom w:val="single" w:sz="4" w:space="1" w:color="auto"/>
        </w:pBdr>
        <w:tabs>
          <w:tab w:val="left" w:pos="3630"/>
        </w:tabs>
        <w:spacing w:after="0"/>
        <w:rPr>
          <w:b/>
          <w:bCs/>
        </w:rPr>
      </w:pPr>
      <w:r w:rsidRPr="00F52BF0">
        <w:rPr>
          <w:b/>
          <w:bCs/>
        </w:rPr>
        <w:t xml:space="preserve">SADRŽAJ </w:t>
      </w:r>
      <w:r>
        <w:rPr>
          <w:b/>
          <w:bCs/>
        </w:rPr>
        <w:t>NATJEČAJNOG ELABORATA</w:t>
      </w:r>
      <w:r w:rsidRPr="00F52BF0">
        <w:rPr>
          <w:b/>
          <w:bCs/>
        </w:rPr>
        <w:t>:</w:t>
      </w:r>
    </w:p>
    <w:p w14:paraId="5DE0E84C" w14:textId="77777777" w:rsidR="00861CC2" w:rsidRDefault="00861CC2" w:rsidP="00861CC2">
      <w:pPr>
        <w:spacing w:after="0"/>
        <w:jc w:val="both"/>
      </w:pPr>
    </w:p>
    <w:p w14:paraId="183C9B7B" w14:textId="6BEF2B5B" w:rsidR="00861CC2" w:rsidRDefault="00861CC2" w:rsidP="00861CC2">
      <w:pPr>
        <w:spacing w:after="0"/>
        <w:jc w:val="both"/>
      </w:pPr>
      <w:r>
        <w:t>Sukladno Pravilniku o natječajima s područja arhitekture, urbanizma, unutarnjeg uređenja i uređenja krajobraza („Narodne novine“ broj 85/14), natječajni elaborat se sastoji od tekstualnih i grafičkih dijelova, a sadrži:</w:t>
      </w:r>
    </w:p>
    <w:p w14:paraId="6825786D" w14:textId="77777777" w:rsidR="00861CC2" w:rsidRDefault="00861CC2" w:rsidP="00861CC2">
      <w:pPr>
        <w:spacing w:after="0"/>
        <w:jc w:val="both"/>
      </w:pPr>
    </w:p>
    <w:p w14:paraId="0089D707" w14:textId="77777777" w:rsidR="00861CC2" w:rsidRDefault="00861CC2" w:rsidP="00861CC2">
      <w:pPr>
        <w:pStyle w:val="Odlomakpopisa"/>
        <w:numPr>
          <w:ilvl w:val="0"/>
          <w:numId w:val="1"/>
        </w:numPr>
        <w:pBdr>
          <w:bottom w:val="single" w:sz="4" w:space="1" w:color="auto"/>
        </w:pBdr>
        <w:spacing w:after="0"/>
        <w:ind w:hanging="720"/>
        <w:jc w:val="both"/>
        <w:rPr>
          <w:b/>
          <w:bCs/>
        </w:rPr>
      </w:pPr>
      <w:r w:rsidRPr="006471D2">
        <w:rPr>
          <w:b/>
          <w:bCs/>
        </w:rPr>
        <w:t>UVJETE NATJEČAJA</w:t>
      </w:r>
      <w:r>
        <w:rPr>
          <w:b/>
          <w:bCs/>
        </w:rPr>
        <w:t>:</w:t>
      </w:r>
    </w:p>
    <w:p w14:paraId="430ACA76" w14:textId="77777777" w:rsidR="00861CC2" w:rsidRPr="006471D2" w:rsidRDefault="00861CC2" w:rsidP="00861CC2">
      <w:pPr>
        <w:shd w:val="clear" w:color="auto" w:fill="FFFFFF"/>
        <w:spacing w:after="150"/>
        <w:ind w:left="709"/>
        <w:textAlignment w:val="baseline"/>
        <w:rPr>
          <w:rFonts w:eastAsia="Times New Roman" w:cs="Calibri"/>
          <w:color w:val="484848"/>
          <w:lang w:eastAsia="hr-HR"/>
        </w:rPr>
      </w:pPr>
      <w:r w:rsidRPr="006471D2">
        <w:rPr>
          <w:rFonts w:eastAsia="Times New Roman" w:cs="Calibri"/>
          <w:b/>
          <w:bCs/>
          <w:lang w:eastAsia="hr-HR"/>
        </w:rPr>
        <w:t>Uvjeti natječaja sadrže:</w:t>
      </w:r>
      <w:r w:rsidRPr="006471D2">
        <w:rPr>
          <w:rFonts w:eastAsia="Times New Roman" w:cs="Calibri"/>
          <w:b/>
          <w:bCs/>
          <w:lang w:eastAsia="hr-HR"/>
        </w:rPr>
        <w:br/>
      </w:r>
      <w:r w:rsidRPr="006471D2">
        <w:rPr>
          <w:rFonts w:eastAsia="Times New Roman" w:cs="Calibri"/>
          <w:color w:val="484848"/>
          <w:lang w:eastAsia="hr-HR"/>
        </w:rPr>
        <w:t>- opće uvjete</w:t>
      </w:r>
      <w:r w:rsidRPr="006471D2">
        <w:rPr>
          <w:rFonts w:eastAsia="Times New Roman" w:cs="Calibri"/>
          <w:color w:val="484848"/>
          <w:lang w:eastAsia="hr-HR"/>
        </w:rPr>
        <w:br/>
        <w:t>- rokove natječaja</w:t>
      </w:r>
      <w:r w:rsidRPr="006471D2">
        <w:rPr>
          <w:rFonts w:eastAsia="Times New Roman" w:cs="Calibri"/>
          <w:color w:val="484848"/>
          <w:lang w:eastAsia="hr-HR"/>
        </w:rPr>
        <w:br/>
        <w:t>- podatke o nagradama</w:t>
      </w:r>
      <w:r w:rsidRPr="006471D2">
        <w:rPr>
          <w:rFonts w:eastAsia="Times New Roman" w:cs="Calibri"/>
          <w:color w:val="484848"/>
          <w:lang w:eastAsia="hr-HR"/>
        </w:rPr>
        <w:br/>
        <w:t>- podatke o ocjenjivačkom sudu</w:t>
      </w:r>
      <w:r w:rsidRPr="006471D2">
        <w:rPr>
          <w:rFonts w:eastAsia="Times New Roman" w:cs="Calibri"/>
          <w:color w:val="484848"/>
          <w:lang w:eastAsia="hr-HR"/>
        </w:rPr>
        <w:br/>
        <w:t>- podatke o sadržaju natječajnog rada</w:t>
      </w:r>
      <w:r w:rsidRPr="006471D2">
        <w:rPr>
          <w:rFonts w:eastAsia="Times New Roman" w:cs="Calibri"/>
          <w:color w:val="484848"/>
          <w:lang w:eastAsia="hr-HR"/>
        </w:rPr>
        <w:br/>
        <w:t>- podatke o opremanju natječajnog rada</w:t>
      </w:r>
      <w:r w:rsidRPr="006471D2">
        <w:rPr>
          <w:rFonts w:eastAsia="Times New Roman" w:cs="Calibri"/>
          <w:color w:val="484848"/>
          <w:lang w:eastAsia="hr-HR"/>
        </w:rPr>
        <w:br/>
        <w:t>- posebne upute natjecateljima</w:t>
      </w:r>
      <w:r w:rsidRPr="006471D2">
        <w:rPr>
          <w:rFonts w:eastAsia="Times New Roman" w:cs="Calibri"/>
          <w:color w:val="484848"/>
          <w:lang w:eastAsia="hr-HR"/>
        </w:rPr>
        <w:br/>
        <w:t>- kriterije za ocjenjivanje natječajnih radova</w:t>
      </w:r>
      <w:r w:rsidRPr="006471D2">
        <w:rPr>
          <w:rFonts w:eastAsia="Times New Roman" w:cs="Calibri"/>
          <w:color w:val="484848"/>
          <w:lang w:eastAsia="hr-HR"/>
        </w:rPr>
        <w:br/>
        <w:t>- način povrata natječajnog rada</w:t>
      </w:r>
      <w:r w:rsidRPr="006471D2">
        <w:rPr>
          <w:rFonts w:eastAsia="Times New Roman" w:cs="Calibri"/>
          <w:color w:val="484848"/>
          <w:lang w:eastAsia="hr-HR"/>
        </w:rPr>
        <w:br/>
        <w:t>- obveze o povjeravanju daljnje izrade projektne dokumentacije</w:t>
      </w:r>
      <w:r w:rsidRPr="006471D2">
        <w:rPr>
          <w:rFonts w:eastAsia="Times New Roman" w:cs="Calibri"/>
          <w:color w:val="484848"/>
          <w:lang w:eastAsia="hr-HR"/>
        </w:rPr>
        <w:br/>
        <w:t>- navod o obveznosti odredaba ovog Pravilnika za sve sudionike</w:t>
      </w:r>
      <w:r w:rsidRPr="006471D2">
        <w:rPr>
          <w:rFonts w:eastAsia="Times New Roman" w:cs="Calibri"/>
          <w:color w:val="484848"/>
          <w:lang w:eastAsia="hr-HR"/>
        </w:rPr>
        <w:br/>
        <w:t>natječaja</w:t>
      </w:r>
      <w:r w:rsidRPr="006471D2">
        <w:rPr>
          <w:rFonts w:eastAsia="Times New Roman" w:cs="Calibri"/>
          <w:color w:val="484848"/>
          <w:lang w:eastAsia="hr-HR"/>
        </w:rPr>
        <w:br/>
        <w:t>- obveze i rokove organiziranja javne izložbe natječajnih radova</w:t>
      </w:r>
      <w:r w:rsidRPr="006471D2">
        <w:rPr>
          <w:rFonts w:eastAsia="Times New Roman" w:cs="Calibri"/>
          <w:color w:val="484848"/>
          <w:lang w:eastAsia="hr-HR"/>
        </w:rPr>
        <w:br/>
        <w:t>- obveze prvonagrađenog autora i raspisivača natječaja</w:t>
      </w:r>
      <w:r w:rsidRPr="006471D2">
        <w:rPr>
          <w:rFonts w:eastAsia="Times New Roman" w:cs="Calibri"/>
          <w:color w:val="484848"/>
          <w:lang w:eastAsia="hr-HR"/>
        </w:rPr>
        <w:br/>
        <w:t>- način rješavanja sporova</w:t>
      </w:r>
      <w:r w:rsidRPr="006471D2">
        <w:rPr>
          <w:rFonts w:eastAsia="Times New Roman" w:cs="Calibri"/>
          <w:color w:val="484848"/>
          <w:lang w:eastAsia="hr-HR"/>
        </w:rPr>
        <w:br/>
        <w:t>- završne odredbe.</w:t>
      </w:r>
    </w:p>
    <w:p w14:paraId="1005DD13" w14:textId="77777777" w:rsidR="00861CC2" w:rsidRPr="006471D2" w:rsidRDefault="00861CC2" w:rsidP="00861CC2">
      <w:pPr>
        <w:shd w:val="clear" w:color="auto" w:fill="FFFFFF"/>
        <w:spacing w:after="150"/>
        <w:textAlignment w:val="baseline"/>
        <w:rPr>
          <w:rFonts w:eastAsia="Times New Roman" w:cs="Calibri"/>
          <w:b/>
          <w:bCs/>
          <w:lang w:eastAsia="hr-HR"/>
        </w:rPr>
      </w:pPr>
      <w:r w:rsidRPr="006471D2">
        <w:rPr>
          <w:rFonts w:eastAsia="Times New Roman" w:cs="Calibri"/>
          <w:b/>
          <w:bCs/>
          <w:lang w:eastAsia="hr-HR"/>
        </w:rPr>
        <w:t>Uvjeti natječaja za natječaje koji su u sustavu javne nabave osim navedenih uvjeta moraju sadržavati i:</w:t>
      </w:r>
    </w:p>
    <w:p w14:paraId="4BFED66D" w14:textId="77777777" w:rsidR="00861CC2" w:rsidRPr="006471D2" w:rsidRDefault="00861CC2" w:rsidP="00861CC2">
      <w:pPr>
        <w:shd w:val="clear" w:color="auto" w:fill="FFFFFF"/>
        <w:spacing w:after="150"/>
        <w:ind w:left="709"/>
        <w:textAlignment w:val="baseline"/>
        <w:rPr>
          <w:rFonts w:eastAsia="Times New Roman" w:cs="Calibri"/>
          <w:color w:val="484848"/>
          <w:lang w:eastAsia="hr-HR"/>
        </w:rPr>
      </w:pPr>
      <w:r w:rsidRPr="006471D2">
        <w:rPr>
          <w:rFonts w:eastAsia="Times New Roman" w:cs="Calibri"/>
          <w:color w:val="484848"/>
          <w:lang w:eastAsia="hr-HR"/>
        </w:rPr>
        <w:t>- razloge za isključenje ponuditelja</w:t>
      </w:r>
      <w:r w:rsidRPr="006471D2">
        <w:rPr>
          <w:rFonts w:eastAsia="Times New Roman" w:cs="Calibri"/>
          <w:color w:val="484848"/>
          <w:lang w:eastAsia="hr-HR"/>
        </w:rPr>
        <w:br/>
        <w:t>- način i uvjete utvrđivanja sposobnosti ponuditelja</w:t>
      </w:r>
      <w:r w:rsidRPr="006471D2">
        <w:rPr>
          <w:rFonts w:eastAsia="Times New Roman" w:cs="Calibri"/>
          <w:color w:val="484848"/>
          <w:lang w:eastAsia="hr-HR"/>
        </w:rPr>
        <w:br/>
        <w:t>- ostale odredbe propisane Zakonom o javnoj nabavi.</w:t>
      </w:r>
    </w:p>
    <w:p w14:paraId="0A74FA1A" w14:textId="77777777" w:rsidR="00861CC2" w:rsidRDefault="00861CC2" w:rsidP="00861CC2">
      <w:pPr>
        <w:shd w:val="clear" w:color="auto" w:fill="FFFFFF"/>
        <w:spacing w:after="150"/>
        <w:textAlignment w:val="baseline"/>
        <w:rPr>
          <w:rFonts w:eastAsia="Times New Roman" w:cs="Calibri"/>
          <w:b/>
          <w:bCs/>
          <w:lang w:eastAsia="hr-HR"/>
        </w:rPr>
      </w:pPr>
      <w:r w:rsidRPr="006471D2">
        <w:rPr>
          <w:rFonts w:eastAsia="Times New Roman" w:cs="Calibri"/>
          <w:b/>
          <w:bCs/>
          <w:lang w:eastAsia="hr-HR"/>
        </w:rPr>
        <w:t>Opća ograničenja za sudjelovanje u natječaju moraju biti sadržana u uvjetima natječaja. Posebna ograničenja za pojedini oblik natječaja moraju se jasno iskazati. Za natječaje koji su u sustavu javne nabave vrijede ograničenja propisana Zakonom o javnoj nabavi.</w:t>
      </w:r>
    </w:p>
    <w:p w14:paraId="44AB7D81" w14:textId="77777777" w:rsidR="00861CC2" w:rsidRDefault="00861CC2" w:rsidP="00861CC2">
      <w:pPr>
        <w:shd w:val="clear" w:color="auto" w:fill="FFFFFF"/>
        <w:spacing w:after="150"/>
        <w:textAlignment w:val="baseline"/>
        <w:rPr>
          <w:rFonts w:eastAsia="Times New Roman" w:cs="Calibri"/>
          <w:b/>
          <w:bCs/>
          <w:lang w:eastAsia="hr-HR"/>
        </w:rPr>
      </w:pPr>
    </w:p>
    <w:p w14:paraId="4D97E06F" w14:textId="77777777" w:rsidR="00861CC2" w:rsidRDefault="00861CC2" w:rsidP="00861CC2">
      <w:pPr>
        <w:shd w:val="clear" w:color="auto" w:fill="FFFFFF"/>
        <w:spacing w:after="150"/>
        <w:textAlignment w:val="baseline"/>
        <w:rPr>
          <w:rFonts w:eastAsia="Times New Roman" w:cs="Calibri"/>
          <w:b/>
          <w:bCs/>
          <w:lang w:eastAsia="hr-HR"/>
        </w:rPr>
      </w:pPr>
    </w:p>
    <w:p w14:paraId="00743895" w14:textId="77777777" w:rsidR="00861CC2" w:rsidRPr="006471D2" w:rsidRDefault="00861CC2" w:rsidP="00861CC2">
      <w:pPr>
        <w:shd w:val="clear" w:color="auto" w:fill="FFFFFF"/>
        <w:spacing w:after="150"/>
        <w:textAlignment w:val="baseline"/>
        <w:rPr>
          <w:rFonts w:eastAsia="Times New Roman" w:cs="Calibri"/>
          <w:b/>
          <w:bCs/>
          <w:lang w:eastAsia="hr-HR"/>
        </w:rPr>
      </w:pPr>
    </w:p>
    <w:p w14:paraId="01FA9156" w14:textId="77777777" w:rsidR="00861CC2" w:rsidRDefault="00861CC2" w:rsidP="00861CC2">
      <w:pPr>
        <w:pStyle w:val="Odlomakpopisa"/>
        <w:numPr>
          <w:ilvl w:val="0"/>
          <w:numId w:val="1"/>
        </w:numPr>
        <w:pBdr>
          <w:bottom w:val="single" w:sz="4" w:space="1" w:color="auto"/>
        </w:pBdr>
        <w:spacing w:after="0"/>
        <w:ind w:hanging="720"/>
        <w:jc w:val="both"/>
        <w:rPr>
          <w:b/>
          <w:bCs/>
        </w:rPr>
      </w:pPr>
      <w:r w:rsidRPr="006471D2">
        <w:rPr>
          <w:b/>
          <w:bCs/>
        </w:rPr>
        <w:lastRenderedPageBreak/>
        <w:t>NATJEČAJNI ZADATAK/PROGRAM ZA PROVEDBU NATJEČAJA</w:t>
      </w:r>
    </w:p>
    <w:p w14:paraId="04A6510F" w14:textId="77777777" w:rsidR="00861CC2" w:rsidRPr="00887642" w:rsidRDefault="00861CC2" w:rsidP="00861CC2">
      <w:pPr>
        <w:spacing w:after="0"/>
        <w:jc w:val="both"/>
        <w:rPr>
          <w:b/>
          <w:bCs/>
        </w:rPr>
      </w:pPr>
    </w:p>
    <w:p w14:paraId="7B80647F" w14:textId="77777777" w:rsidR="00861CC2" w:rsidRDefault="00861CC2" w:rsidP="00861CC2">
      <w:pPr>
        <w:spacing w:after="0"/>
        <w:jc w:val="both"/>
        <w:rPr>
          <w:b/>
          <w:bCs/>
        </w:rPr>
      </w:pPr>
      <w:r w:rsidRPr="00887642">
        <w:rPr>
          <w:b/>
          <w:bCs/>
        </w:rPr>
        <w:t>Natjecateljima se mora staviti na raspolaganje tekst objavljenog natječaja te sve ostale potrebne podloge i dokumentacija, uključujući rezultate prethodnih istraživanja</w:t>
      </w:r>
      <w:r>
        <w:rPr>
          <w:b/>
          <w:bCs/>
        </w:rPr>
        <w:t xml:space="preserve"> i ankete</w:t>
      </w:r>
      <w:r w:rsidRPr="00887642">
        <w:rPr>
          <w:b/>
          <w:bCs/>
        </w:rPr>
        <w:t>, u odgovarajućem obliku, a za čije prikupljanje i valorizaciju je odgovoran izrađivač Natječajnog elaborata:</w:t>
      </w:r>
    </w:p>
    <w:p w14:paraId="079C47E1" w14:textId="77777777" w:rsidR="00861CC2" w:rsidRPr="00887642" w:rsidRDefault="00861CC2" w:rsidP="00861CC2">
      <w:pPr>
        <w:spacing w:after="0"/>
        <w:jc w:val="both"/>
        <w:rPr>
          <w:b/>
          <w:bCs/>
        </w:rPr>
      </w:pPr>
    </w:p>
    <w:p w14:paraId="117E2EB9" w14:textId="163EA45A" w:rsidR="00861CC2" w:rsidRDefault="00861CC2" w:rsidP="00861CC2">
      <w:pPr>
        <w:spacing w:after="0"/>
      </w:pPr>
      <w:r w:rsidRPr="006471D2">
        <w:t xml:space="preserve">1. Projektni zadatak s prostornim programom, urbanističkim, konzervatorskim </w:t>
      </w:r>
      <w:r>
        <w:t xml:space="preserve">(po potrebi) </w:t>
      </w:r>
      <w:r w:rsidRPr="006471D2">
        <w:t>i inženjersko-tehničkim uvjetima koji su međusobno usklađeni.</w:t>
      </w:r>
      <w:r w:rsidRPr="006471D2">
        <w:br/>
        <w:t xml:space="preserve">2. Karte, pregledni planovi te ostali materijali o situaciji i postojećem stanju natječajnog područja ili građevinske parcele, kao što su geodetske podloge, snimke iz zraka, topografske, krajobrazne i građevinske uvjete i sl. </w:t>
      </w:r>
    </w:p>
    <w:p w14:paraId="30D33A96" w14:textId="77777777" w:rsidR="00861CC2" w:rsidRDefault="00861CC2" w:rsidP="00861CC2">
      <w:pPr>
        <w:spacing w:after="0"/>
      </w:pPr>
      <w:r w:rsidRPr="006471D2">
        <w:t>Geodetske podloge na kojima se izrađuje natječajni rad moraju biti ovjerene od ovlaštenog inženjera geodezije. Područje natječajnog obuhvata mora se na nacrtima jasno označiti.</w:t>
      </w:r>
      <w:r w:rsidRPr="006471D2">
        <w:br/>
        <w:t>3. Odredbe nadređenih planova: javno-pravne, projektne, građevinske, vodoprivredne i ekološke odredbe, rezultati prethodnih istraživanja</w:t>
      </w:r>
      <w:r>
        <w:t xml:space="preserve"> </w:t>
      </w:r>
      <w:r w:rsidRPr="006471D2">
        <w:t>i anketa, postojeći projekti.</w:t>
      </w:r>
      <w:r w:rsidRPr="006471D2">
        <w:br/>
        <w:t>4. Podaci o postupcima izdavanja dozvola, tehnički i ostali prilozi, koji su od značaja za natječajni zadatak, područje ili gradilište.</w:t>
      </w:r>
      <w:r w:rsidRPr="006471D2">
        <w:br/>
        <w:t xml:space="preserve">5. Podaci o pojedinostima na području natječajnog zahvata ili gradilištu, kao što su orijentacija, nadmorska visina, sastav tla, postojeća vegetacija i postojeći elementi koje vrijedi sačuvati, podzemne vode, vodostaj, </w:t>
      </w:r>
      <w:r>
        <w:t>e</w:t>
      </w:r>
      <w:r w:rsidRPr="006471D2">
        <w:t>misije, zračna strujanja, opskrba, odvoz i rješavanje otpada, prometna infrastruktura, prilazni putovi, postojeća gradnja, građevine zaštićeni spomenici kulture, te građevine vrijedne očuvanja, nacionalni parkovi i rezervati i postojeća terećenja, energetski uvjeti.</w:t>
      </w:r>
      <w:r w:rsidRPr="006471D2">
        <w:br/>
        <w:t>6. Kod pregradnji i dogradnji podaci o dijelovima građevine koje se mora sačuvati te o eventualnim zaštićenim autorskim pravima. Nacrti postojećeg stanja građevine u traženom mjerilu.</w:t>
      </w:r>
      <w:r w:rsidRPr="006471D2">
        <w:br/>
        <w:t>7. Statistički, prognostički i organizacijski dokumenti, svi važni osnovni podaci za potrebne proračune, već postojeći rezultati istraživanja, podaci o strukturi, rastu i razvoju područja, podaci o povijesnim obvezama, područja socijalne problematike, ukoliko su od značaja za rješavanje natječajnog zadatka.</w:t>
      </w:r>
      <w:r w:rsidRPr="006471D2">
        <w:br/>
        <w:t>8. Ploča za maketu, podloga za maketu, ako se traže.</w:t>
      </w:r>
    </w:p>
    <w:p w14:paraId="327B5BFE" w14:textId="77777777" w:rsidR="00861CC2" w:rsidRDefault="00861CC2" w:rsidP="00861CC2">
      <w:pPr>
        <w:spacing w:after="0"/>
        <w:jc w:val="both"/>
      </w:pPr>
    </w:p>
    <w:p w14:paraId="4184EE66" w14:textId="182633A5" w:rsidR="00861CC2" w:rsidRDefault="00E168C3" w:rsidP="00861CC2">
      <w:pPr>
        <w:spacing w:after="0"/>
        <w:jc w:val="both"/>
      </w:pPr>
      <w:r>
        <w:t>Izrađivač natječajnog elaborata mora zatražiti posebne uvjete za navedeni zahvat u prostoru.</w:t>
      </w:r>
    </w:p>
    <w:p w14:paraId="31A493E7" w14:textId="2D945860" w:rsidR="00E168C3" w:rsidRDefault="00E168C3" w:rsidP="00861CC2">
      <w:pPr>
        <w:spacing w:after="0"/>
        <w:jc w:val="both"/>
      </w:pPr>
    </w:p>
    <w:p w14:paraId="23BA91B4" w14:textId="77777777" w:rsidR="00861CC2" w:rsidRPr="00887642" w:rsidRDefault="00861CC2" w:rsidP="00861CC2">
      <w:pPr>
        <w:spacing w:after="0"/>
        <w:jc w:val="both"/>
        <w:rPr>
          <w:b/>
          <w:bCs/>
        </w:rPr>
      </w:pPr>
      <w:r w:rsidRPr="00887642">
        <w:rPr>
          <w:b/>
          <w:bCs/>
        </w:rPr>
        <w:t>Sve podloge i potrebnu dokumentaciju dostavlja Raspisivač natječaja na traženje izrađivača Natječajnog elaborata.</w:t>
      </w:r>
    </w:p>
    <w:bookmarkEnd w:id="0"/>
    <w:p w14:paraId="47746747" w14:textId="77777777" w:rsidR="00861CC2" w:rsidRDefault="00861CC2" w:rsidP="00861CC2">
      <w:pPr>
        <w:spacing w:after="0"/>
        <w:jc w:val="both"/>
      </w:pPr>
    </w:p>
    <w:p w14:paraId="57AAF42B" w14:textId="77777777" w:rsidR="00861CC2" w:rsidRPr="0088296E" w:rsidRDefault="00861CC2" w:rsidP="00861CC2">
      <w:pPr>
        <w:spacing w:after="0"/>
        <w:jc w:val="both"/>
        <w:rPr>
          <w:i/>
          <w:iCs/>
        </w:rPr>
      </w:pPr>
      <w:r w:rsidRPr="0088296E">
        <w:rPr>
          <w:i/>
          <w:iCs/>
        </w:rPr>
        <w:t>Prilog 1 – prijedlog obuhvata natječaja</w:t>
      </w:r>
    </w:p>
    <w:p w14:paraId="3A395F37" w14:textId="77777777" w:rsidR="00701EB0" w:rsidRDefault="00701EB0"/>
    <w:sectPr w:rsidR="00701EB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F1A01"/>
    <w:multiLevelType w:val="hybridMultilevel"/>
    <w:tmpl w:val="93AE16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794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62"/>
    <w:rsid w:val="00044AF7"/>
    <w:rsid w:val="00060762"/>
    <w:rsid w:val="003A745A"/>
    <w:rsid w:val="00701EB0"/>
    <w:rsid w:val="00793429"/>
    <w:rsid w:val="00861CC2"/>
    <w:rsid w:val="00885E8C"/>
    <w:rsid w:val="00DA2B42"/>
    <w:rsid w:val="00E168C3"/>
    <w:rsid w:val="00F0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56BF"/>
  <w15:chartTrackingRefBased/>
  <w15:docId w15:val="{7641F81C-D0DA-4C2E-87A1-720EE0EB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CC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60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60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607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60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607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60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60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60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60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607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60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607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6076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6076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6076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6076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6076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6076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60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60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60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60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60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6076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99"/>
    <w:qFormat/>
    <w:rsid w:val="0006076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6076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60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6076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607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29D14-3D0A-437E-9AF7-7767C81EB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Strčić</dc:creator>
  <cp:keywords/>
  <dc:description/>
  <cp:lastModifiedBy>Daniel Strčić</cp:lastModifiedBy>
  <cp:revision>3</cp:revision>
  <dcterms:created xsi:type="dcterms:W3CDTF">2025-11-12T12:28:00Z</dcterms:created>
  <dcterms:modified xsi:type="dcterms:W3CDTF">2025-11-12T13:14:00Z</dcterms:modified>
</cp:coreProperties>
</file>