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CD5D" w14:textId="77777777" w:rsidR="001476C0" w:rsidRPr="00F55558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</w:t>
      </w: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504D0281" wp14:editId="3565FAC3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1476C0" w:rsidRPr="000C65AF" w14:paraId="58CD063B" w14:textId="77777777" w:rsidTr="00F646F6">
        <w:trPr>
          <w:cantSplit/>
        </w:trPr>
        <w:tc>
          <w:tcPr>
            <w:tcW w:w="3969" w:type="dxa"/>
            <w:hideMark/>
          </w:tcPr>
          <w:p w14:paraId="3D2949D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 E P U B L I K A   H R V A T S K A</w:t>
            </w:r>
          </w:p>
          <w:p w14:paraId="7401B974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PRIMORSKO – GORANSKA ŽUPANIJA</w:t>
            </w:r>
          </w:p>
          <w:p w14:paraId="013491E1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OPĆINA PUNAT</w:t>
            </w:r>
          </w:p>
        </w:tc>
      </w:tr>
      <w:tr w:rsidR="001476C0" w:rsidRPr="000C65AF" w14:paraId="409B4839" w14:textId="77777777" w:rsidTr="00F646F6">
        <w:trPr>
          <w:cantSplit/>
        </w:trPr>
        <w:tc>
          <w:tcPr>
            <w:tcW w:w="3969" w:type="dxa"/>
          </w:tcPr>
          <w:p w14:paraId="4C74E6B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3BC2F0C3" w14:textId="77777777" w:rsidR="001476C0" w:rsidRPr="000C65AF" w:rsidRDefault="001476C0" w:rsidP="00F646F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02E9551" w14:textId="4355F674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</w:p>
    <w:p w14:paraId="3622F967" w14:textId="5BBF3507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URBROJ: 2170-31-03/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17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 w:rsidR="001A51AC">
        <w:rPr>
          <w:rFonts w:ascii="Garamond" w:eastAsia="Times New Roman" w:hAnsi="Garamond" w:cs="Times New Roman"/>
          <w:sz w:val="24"/>
          <w:szCs w:val="24"/>
          <w:lang w:eastAsia="hr-HR"/>
        </w:rPr>
        <w:t>7</w:t>
      </w:r>
    </w:p>
    <w:p w14:paraId="76C6A800" w14:textId="28D8B29F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23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veljače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202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  </w:t>
      </w:r>
    </w:p>
    <w:p w14:paraId="3E28020F" w14:textId="77777777" w:rsidR="001476C0" w:rsidRPr="000C65AF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FE3CF3F" w14:textId="1471C529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</w:t>
      </w:r>
      <w:r>
        <w:rPr>
          <w:rFonts w:ascii="Garamond" w:hAnsi="Garamond"/>
          <w:sz w:val="24"/>
          <w:szCs w:val="24"/>
        </w:rPr>
        <w:t>,</w:t>
      </w:r>
      <w:r w:rsidRPr="000C65AF">
        <w:rPr>
          <w:rFonts w:ascii="Garamond" w:hAnsi="Garamond"/>
          <w:sz w:val="24"/>
          <w:szCs w:val="24"/>
        </w:rPr>
        <w:t xml:space="preserve"> broj </w:t>
      </w:r>
      <w:hyperlink r:id="rId7" w:tooltip="Zakon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33/01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Vjerodostojno tumačenje članka 31. stavka 1., članka 46. stavka 1. i 2., članka 53. stavka 4. i članka 90. stavka 1. Zakona o lokalnoj i područn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60/01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129/05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109/07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125/08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i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150/11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5" w:tooltip="Zakon o izmjenama i dopunama Zakona o lokalnoj i područnoj (regionalnoj) samo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144/12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6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123/17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0C65AF">
        <w:rPr>
          <w:rFonts w:ascii="Garamond" w:hAnsi="Garamond"/>
          <w:sz w:val="24"/>
          <w:szCs w:val="24"/>
        </w:rPr>
        <w:t>),</w:t>
      </w:r>
      <w:r w:rsidRPr="000C65AF">
        <w:rPr>
          <w:rFonts w:ascii="Garamond" w:hAnsi="Garamond" w:cs="Arial"/>
          <w:sz w:val="24"/>
          <w:szCs w:val="24"/>
        </w:rPr>
        <w:t xml:space="preserve"> članka </w:t>
      </w:r>
      <w:r>
        <w:rPr>
          <w:rFonts w:ascii="Garamond" w:hAnsi="Garamond" w:cs="Arial"/>
          <w:sz w:val="24"/>
          <w:szCs w:val="24"/>
        </w:rPr>
        <w:t>46</w:t>
      </w:r>
      <w:r w:rsidRPr="000C65AF">
        <w:rPr>
          <w:rFonts w:ascii="Garamond" w:hAnsi="Garamond" w:cs="Arial"/>
          <w:sz w:val="24"/>
          <w:szCs w:val="24"/>
        </w:rPr>
        <w:t>. Statuta Općine Punat („Službene novine Primorsko-goranske županije“</w:t>
      </w:r>
      <w:r>
        <w:rPr>
          <w:rFonts w:ascii="Garamond" w:hAnsi="Garamond" w:cs="Arial"/>
          <w:sz w:val="24"/>
          <w:szCs w:val="24"/>
        </w:rPr>
        <w:t>,</w:t>
      </w:r>
      <w:r w:rsidRPr="000C65AF">
        <w:rPr>
          <w:rFonts w:ascii="Garamond" w:hAnsi="Garamond" w:cs="Arial"/>
          <w:sz w:val="24"/>
          <w:szCs w:val="24"/>
        </w:rPr>
        <w:t xml:space="preserve"> broj </w:t>
      </w:r>
      <w:r>
        <w:rPr>
          <w:rFonts w:ascii="Garamond" w:hAnsi="Garamond" w:cs="Arial"/>
          <w:sz w:val="24"/>
          <w:szCs w:val="24"/>
        </w:rPr>
        <w:t>36/22</w:t>
      </w:r>
      <w:r w:rsidRPr="000C65AF">
        <w:rPr>
          <w:rFonts w:ascii="Garamond" w:hAnsi="Garamond" w:cs="Arial"/>
          <w:sz w:val="24"/>
          <w:szCs w:val="24"/>
        </w:rPr>
        <w:t xml:space="preserve">), </w:t>
      </w:r>
      <w:r w:rsidRPr="000C65AF">
        <w:rPr>
          <w:rFonts w:ascii="Garamond" w:hAnsi="Garamond"/>
          <w:sz w:val="24"/>
          <w:szCs w:val="24"/>
        </w:rPr>
        <w:t xml:space="preserve">članka 2. i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5. Odluke o uvjetima, načinu i postupku raspolaganja nekretninama u vlasništvu Općine Punat ("Službene novine Primorsko – goranske županije"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broj 21/16, 27/16, 11/17 i 11/20) i Zaključka općinskog načelnika, 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 URBROJ: 2170-31-0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12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veljače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općinski načelnik raspisuje </w:t>
      </w:r>
    </w:p>
    <w:p w14:paraId="0192568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0EBDE1" w14:textId="77777777" w:rsidR="001476C0" w:rsidRPr="000C65AF" w:rsidRDefault="001476C0" w:rsidP="001476C0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5E974118" w14:textId="6F0850CA" w:rsidR="001476C0" w:rsidRPr="000C65AF" w:rsidRDefault="001476C0" w:rsidP="001476C0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u vlasništvu Općine Punat</w:t>
      </w:r>
      <w:bookmarkEnd w:id="0"/>
    </w:p>
    <w:p w14:paraId="6BA931A6" w14:textId="77777777" w:rsidR="001476C0" w:rsidRPr="007F32CB" w:rsidRDefault="001476C0" w:rsidP="001476C0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54E297C7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Predmet natječaja je:</w:t>
      </w:r>
    </w:p>
    <w:p w14:paraId="13E58B7B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6824AD85" w14:textId="77777777" w:rsidR="001476C0" w:rsidRDefault="001476C0" w:rsidP="001476C0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Prodaja nekretnin</w:t>
      </w:r>
      <w:r>
        <w:rPr>
          <w:rFonts w:ascii="Garamond" w:hAnsi="Garamond"/>
          <w:b/>
          <w:sz w:val="24"/>
          <w:szCs w:val="24"/>
        </w:rPr>
        <w:t>e</w:t>
      </w:r>
      <w:r w:rsidRPr="007F32CB">
        <w:rPr>
          <w:rFonts w:ascii="Garamond" w:hAnsi="Garamond"/>
          <w:b/>
          <w:sz w:val="24"/>
          <w:szCs w:val="24"/>
        </w:rPr>
        <w:t xml:space="preserve"> u vlasništvu Općine Punat:</w:t>
      </w:r>
    </w:p>
    <w:p w14:paraId="6221BE3A" w14:textId="6D07B8CA" w:rsidR="001476C0" w:rsidRPr="00CE4565" w:rsidRDefault="00CE4565" w:rsidP="001476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val="en-US" w:eastAsia="hr-HR"/>
        </w:rPr>
      </w:pPr>
      <w:r w:rsidRPr="00CE4565">
        <w:rPr>
          <w:rFonts w:ascii="Garamond" w:eastAsia="Times New Roman" w:hAnsi="Garamond" w:cs="Arial"/>
          <w:bCs/>
          <w:sz w:val="24"/>
          <w:szCs w:val="24"/>
          <w:lang w:val="en-US" w:eastAsia="hr-HR"/>
        </w:rPr>
        <w:t>9/254 dijela z.č. 4925, barićeve kućine, pašnjak površine 365 m², upisana u zk.ul. 6648 k.o. Punat</w:t>
      </w:r>
    </w:p>
    <w:p w14:paraId="438B9B06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2E74848D" w14:textId="77777777" w:rsidR="00CE4565" w:rsidRPr="00CE4565" w:rsidRDefault="00CE4565" w:rsidP="00CE4565">
      <w:pPr>
        <w:ind w:firstLine="720"/>
        <w:jc w:val="both"/>
        <w:rPr>
          <w:rFonts w:ascii="Garamond" w:hAnsi="Garamond"/>
          <w:sz w:val="24"/>
          <w:szCs w:val="24"/>
        </w:rPr>
      </w:pPr>
      <w:r w:rsidRPr="00CE4565">
        <w:rPr>
          <w:rFonts w:ascii="Garamond" w:hAnsi="Garamond"/>
          <w:sz w:val="24"/>
          <w:szCs w:val="24"/>
        </w:rPr>
        <w:t>Početna natječajna cijena određuje se u iznosu 190,00 eura/m².</w:t>
      </w:r>
    </w:p>
    <w:p w14:paraId="3A5E300E" w14:textId="470DD9A2" w:rsidR="001476C0" w:rsidRPr="007F32CB" w:rsidRDefault="00CE4565" w:rsidP="00CE4565">
      <w:pPr>
        <w:ind w:firstLine="720"/>
        <w:jc w:val="both"/>
        <w:rPr>
          <w:rFonts w:ascii="Garamond" w:hAnsi="Garamond"/>
          <w:sz w:val="24"/>
          <w:szCs w:val="24"/>
        </w:rPr>
      </w:pPr>
      <w:r w:rsidRPr="00CE4565">
        <w:rPr>
          <w:rFonts w:ascii="Garamond" w:hAnsi="Garamond"/>
          <w:sz w:val="24"/>
          <w:szCs w:val="24"/>
        </w:rPr>
        <w:t>Sukladno Urbanističkom planu uređenja naselja - UPU 3 građevinsko područje naselja N1 – centralno naselje Punat („Službene novine Primorsko-goranske županije“, broj 34/10, 40/13, 40/14, 13/16 i 3/20) nekretnina je smještena u području oznake M1 – mješovita namjena-pretežito stambena.</w:t>
      </w:r>
    </w:p>
    <w:p w14:paraId="4A666386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5504EEBC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39478115" w14:textId="77777777" w:rsidR="001476C0" w:rsidRPr="00446C52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Ponuda </w:t>
      </w: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mora sadržavati:</w:t>
      </w:r>
    </w:p>
    <w:p w14:paraId="072FD3DB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50DF2823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33B491DE" w14:textId="4A96DAE3" w:rsidR="00446C52" w:rsidRPr="00446C52" w:rsidRDefault="00446C52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hAnsi="Garamond"/>
          <w:sz w:val="24"/>
          <w:szCs w:val="24"/>
        </w:rPr>
        <w:t>dokaz o izvršenoj uplati jamčevine</w:t>
      </w:r>
      <w:r>
        <w:rPr>
          <w:rFonts w:ascii="Garamond" w:hAnsi="Garamond"/>
          <w:sz w:val="24"/>
          <w:szCs w:val="24"/>
        </w:rPr>
        <w:t>,</w:t>
      </w:r>
    </w:p>
    <w:p w14:paraId="1C13ADAB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39FA42A0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50DAD53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763321D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22A6BE34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065967CB" w14:textId="77777777" w:rsidR="00446C52" w:rsidRPr="002B0E47" w:rsidRDefault="00446C52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1DB9D3D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 xml:space="preserve">Mjerilo za odabir najpovoljnije ponude je najviši ponuđeni iznos cijene, odnosno najpovoljnijom ponudom smatrat će se ponuda ponuditelja koji ponudi najviši iznos kupoprodajne cijene. </w:t>
      </w:r>
    </w:p>
    <w:p w14:paraId="7ED03771" w14:textId="6FE59ADE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ožujka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sati.</w:t>
      </w:r>
    </w:p>
    <w:p w14:paraId="3619D8E1" w14:textId="2EEF9D7B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18A20E0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1BFFDCCF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41C6BDA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00658775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20A4F4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7090EE8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trošak izrade elaborata procjene vrijednosti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te je dokaz o uplati troškova preduvjet zaključenju ugovora o kupoprodaji nekretnina.</w:t>
      </w:r>
    </w:p>
    <w:p w14:paraId="031A8F34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2CF4642E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6B40B96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342D3F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po natječaju – ne otvarati»</w:t>
      </w:r>
    </w:p>
    <w:p w14:paraId="46FA370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081E99E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19041FB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4E42A586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6DD4D5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91FD38B" w14:textId="742BF541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 w:rsidRPr="000C65AF"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(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osmi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 neovisno o načinu dostave. Obavijest o raspisanom natječaju objavit će se u „Novom listu“ dana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446C52">
        <w:rPr>
          <w:rFonts w:ascii="Garamond" w:eastAsia="Times New Roman" w:hAnsi="Garamond" w:cs="Times New Roman"/>
          <w:i/>
          <w:sz w:val="24"/>
          <w:szCs w:val="24"/>
          <w:lang w:eastAsia="hr-HR"/>
        </w:rPr>
        <w:t>23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i/>
          <w:sz w:val="24"/>
          <w:szCs w:val="24"/>
          <w:lang w:eastAsia="hr-HR"/>
        </w:rPr>
        <w:t>veljače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202</w:t>
      </w:r>
      <w:r w:rsidR="00CE4565">
        <w:rPr>
          <w:rFonts w:ascii="Garamond" w:eastAsia="Times New Roman" w:hAnsi="Garamond" w:cs="Times New Roman"/>
          <w:i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. godine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Ponude ko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je pristignu nakon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,00 sati dana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ožujka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godine bez obzira na način dostave smatraju se zakašnjelima.</w:t>
      </w:r>
    </w:p>
    <w:p w14:paraId="75034B71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A7226FD" w14:textId="2B55E363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 izbor ponuda obavit će se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ožujka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 w:rsidR="00CE4565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:00 sati u prostorijama Općine Punat. Nepotpune ponude i ponude podnesene izvan utvrđenog roka neće se razmatrati.</w:t>
      </w:r>
    </w:p>
    <w:p w14:paraId="284E71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64777B41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6C05A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DE1585E" w14:textId="2B444066" w:rsidR="002C767C" w:rsidRPr="000C65AF" w:rsidRDefault="001476C0" w:rsidP="00AA45B3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OPĆINSKI NAČELNIK</w:t>
      </w:r>
    </w:p>
    <w:p w14:paraId="4843136C" w14:textId="36AF2536" w:rsidR="001476C0" w:rsidRPr="000C65AF" w:rsidRDefault="001476C0" w:rsidP="001476C0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</w:t>
      </w:r>
      <w:r w:rsidR="00AA45B3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 w:rsidR="002C767C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Daniel Strčić, bacc.inf.</w:t>
      </w:r>
      <w:r w:rsidR="00AA45B3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684C038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76C0"/>
    <w:rsid w:val="001A51AC"/>
    <w:rsid w:val="002C767C"/>
    <w:rsid w:val="0038778A"/>
    <w:rsid w:val="003D002D"/>
    <w:rsid w:val="004310A0"/>
    <w:rsid w:val="00446C52"/>
    <w:rsid w:val="004F5871"/>
    <w:rsid w:val="008539E2"/>
    <w:rsid w:val="008A562A"/>
    <w:rsid w:val="00961862"/>
    <w:rsid w:val="009F2D64"/>
    <w:rsid w:val="00A836D0"/>
    <w:rsid w:val="00A905FE"/>
    <w:rsid w:val="00AA45B3"/>
    <w:rsid w:val="00AC35DA"/>
    <w:rsid w:val="00AE1FEA"/>
    <w:rsid w:val="00B13EE4"/>
    <w:rsid w:val="00B92D0F"/>
    <w:rsid w:val="00CE4565"/>
    <w:rsid w:val="00D707B3"/>
    <w:rsid w:val="00FD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32C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1B60A974&amp;Ver=NN2001B60A974" TargetMode="External"/><Relationship Id="rId13" Type="http://schemas.openxmlformats.org/officeDocument/2006/relationships/hyperlink" Target="http://www.iusinfo.hr/Publication/Content.aspx?Sopi=NN2009B36A793&amp;Ver=NN2009B36A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01B33A569&amp;Ver=NN2001B33A569" TargetMode="External"/><Relationship Id="rId12" Type="http://schemas.openxmlformats.org/officeDocument/2006/relationships/hyperlink" Target="http://www.iusinfo.hr/Publication/Content.aspx?Sopi=NN2008B125A3563&amp;Ver=NN2008B125A35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7B123A2800&amp;Ver=NN2017B123A2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usinfo.hr/Publication/Content.aspx?Sopi=NN2009B36A792&amp;Ver=NN2009B36A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2B144A3075&amp;Ver=NN2012B144A3075" TargetMode="External"/><Relationship Id="rId10" Type="http://schemas.openxmlformats.org/officeDocument/2006/relationships/hyperlink" Target="http://www.iusinfo.hr/Publication/Content.aspx?Sopi=NN2007B109A3179&amp;Ver=NN2007B109A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05B129A2385&amp;Ver=NN2005B129A2385" TargetMode="External"/><Relationship Id="rId14" Type="http://schemas.openxmlformats.org/officeDocument/2006/relationships/hyperlink" Target="http://www.iusinfo.hr/Publication/Content.aspx?Sopi=NN2011B150A3089&amp;Ver=NN2011B150A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Antonela</cp:lastModifiedBy>
  <cp:revision>2</cp:revision>
  <cp:lastPrinted>2025-11-19T08:31:00Z</cp:lastPrinted>
  <dcterms:created xsi:type="dcterms:W3CDTF">2026-02-23T09:19:00Z</dcterms:created>
  <dcterms:modified xsi:type="dcterms:W3CDTF">2026-02-23T09:19:00Z</dcterms:modified>
</cp:coreProperties>
</file>