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BEA1" w14:textId="77777777" w:rsidR="00943A4A" w:rsidRDefault="00943A4A" w:rsidP="00943A4A">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943A4A" w14:paraId="18F43EF4" w14:textId="77777777" w:rsidTr="00C10CCF">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68751D06" w14:textId="77777777" w:rsidR="00943A4A" w:rsidRDefault="00943A4A" w:rsidP="00C10CCF">
            <w:pPr>
              <w:spacing w:after="0" w:line="140" w:lineRule="exact"/>
              <w:ind w:right="-432"/>
              <w:rPr>
                <w:rFonts w:ascii="Garamond" w:hAnsi="Garamond"/>
                <w:sz w:val="24"/>
                <w:szCs w:val="24"/>
              </w:rPr>
            </w:pPr>
          </w:p>
          <w:p w14:paraId="6FE756A7" w14:textId="77777777" w:rsidR="00943A4A" w:rsidRDefault="00943A4A" w:rsidP="00C10CCF">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943A4A" w14:paraId="5C010C16" w14:textId="77777777" w:rsidTr="00943A4A">
        <w:trPr>
          <w:trHeight w:hRule="exact" w:val="950"/>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6D1FDAE6" w14:textId="77777777" w:rsidR="00943A4A" w:rsidRDefault="00943A4A" w:rsidP="00C10CCF">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7A1D9599" w14:textId="5537852A" w:rsidR="00943A4A" w:rsidRPr="00022A75" w:rsidRDefault="00943A4A" w:rsidP="00C10CCF">
            <w:pPr>
              <w:spacing w:after="0" w:line="240" w:lineRule="auto"/>
              <w:ind w:left="83" w:right="200"/>
              <w:jc w:val="both"/>
              <w:rPr>
                <w:rFonts w:ascii="Garamond" w:eastAsia="Myriad Pro" w:hAnsi="Garamond" w:cs="Myriad Pro"/>
                <w:sz w:val="24"/>
                <w:szCs w:val="24"/>
              </w:rPr>
            </w:pPr>
            <w:r w:rsidRPr="00022A75">
              <w:rPr>
                <w:rFonts w:ascii="Garamond" w:eastAsia="Myriad Pro" w:hAnsi="Garamond" w:cs="Myriad Pro"/>
                <w:color w:val="231F20"/>
                <w:sz w:val="24"/>
                <w:szCs w:val="24"/>
              </w:rPr>
              <w:t xml:space="preserve">Odluka </w:t>
            </w:r>
            <w:r>
              <w:t xml:space="preserve"> </w:t>
            </w:r>
            <w:r w:rsidRPr="00943A4A">
              <w:rPr>
                <w:rFonts w:ascii="Garamond" w:eastAsia="Myriad Pro" w:hAnsi="Garamond" w:cs="Myriad Pro"/>
                <w:color w:val="231F20"/>
                <w:sz w:val="24"/>
                <w:szCs w:val="24"/>
              </w:rPr>
              <w:t>o lokaciji, održavanju i godišnjem planu uzorkovanja vode namijenjene za ljudsku potrošnju koja se koristi na javnim slavinama na području Općine Punat</w:t>
            </w:r>
          </w:p>
        </w:tc>
      </w:tr>
      <w:tr w:rsidR="00943A4A" w14:paraId="547246B7" w14:textId="77777777" w:rsidTr="00C10CCF">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F398B6C" w14:textId="77777777" w:rsidR="00943A4A" w:rsidRDefault="00943A4A" w:rsidP="00C10CCF">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4DA6897F" w14:textId="77777777" w:rsidR="00943A4A" w:rsidRDefault="00943A4A" w:rsidP="00C10CCF">
            <w:pPr>
              <w:spacing w:after="0" w:line="280" w:lineRule="exact"/>
              <w:ind w:left="83" w:right="200"/>
              <w:rPr>
                <w:rFonts w:ascii="Garamond" w:hAnsi="Garamond"/>
                <w:sz w:val="24"/>
                <w:szCs w:val="24"/>
              </w:rPr>
            </w:pPr>
          </w:p>
          <w:p w14:paraId="08F5B01F" w14:textId="77777777" w:rsidR="00943A4A" w:rsidRDefault="00943A4A" w:rsidP="00C10CCF">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Općina Punat</w:t>
            </w:r>
          </w:p>
        </w:tc>
      </w:tr>
      <w:tr w:rsidR="00943A4A" w14:paraId="43410981" w14:textId="77777777" w:rsidTr="00943A4A">
        <w:trPr>
          <w:trHeight w:hRule="exact" w:val="198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3F0FAFD3" w14:textId="77777777" w:rsidR="00943A4A" w:rsidRDefault="00943A4A" w:rsidP="00C10CCF">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7D90738" w14:textId="40D69933" w:rsidR="00943A4A" w:rsidRDefault="00943A4A" w:rsidP="00943A4A">
            <w:pPr>
              <w:spacing w:after="0"/>
              <w:ind w:right="200"/>
              <w:jc w:val="both"/>
              <w:rPr>
                <w:rFonts w:ascii="Garamond" w:hAnsi="Garamond"/>
                <w:sz w:val="24"/>
                <w:szCs w:val="24"/>
              </w:rPr>
            </w:pPr>
            <w:r w:rsidRPr="00022A75">
              <w:rPr>
                <w:rFonts w:ascii="Garamond" w:hAnsi="Garamond"/>
                <w:sz w:val="24"/>
                <w:szCs w:val="24"/>
              </w:rPr>
              <w:t xml:space="preserve">Ovom Odlukom </w:t>
            </w:r>
            <w:r w:rsidRPr="00943A4A">
              <w:rPr>
                <w:rFonts w:ascii="Garamond" w:hAnsi="Garamond"/>
                <w:sz w:val="24"/>
                <w:szCs w:val="24"/>
              </w:rPr>
              <w:t>utvrđuju se položaj i lokacije, način i uvjeti korištenja, način održavanja građevina, izvršenje obveze osiguranja i kontrole zdravstvene ispravnosti vode namijenjene za ljudsku potrošnju sukladno posebnim propisima o vodi za ljudsku potrošnju, eventualna ograničenja u pogledu dopuštenih količina vode, odgovornosti za provedbu obveza propisanih odlukom, osiguranje financijskih sredstava i druga pitanja</w:t>
            </w:r>
            <w:r>
              <w:rPr>
                <w:rFonts w:ascii="Garamond" w:hAnsi="Garamond"/>
                <w:sz w:val="24"/>
                <w:szCs w:val="24"/>
              </w:rPr>
              <w:t>.</w:t>
            </w:r>
          </w:p>
          <w:p w14:paraId="080F050A" w14:textId="693BA45F" w:rsidR="00943A4A" w:rsidRDefault="00943A4A" w:rsidP="00C10CCF">
            <w:pPr>
              <w:spacing w:after="0"/>
              <w:ind w:right="200"/>
              <w:jc w:val="both"/>
              <w:rPr>
                <w:rFonts w:ascii="Garamond" w:hAnsi="Garamond"/>
                <w:sz w:val="24"/>
                <w:szCs w:val="24"/>
              </w:rPr>
            </w:pPr>
          </w:p>
        </w:tc>
      </w:tr>
      <w:tr w:rsidR="00943A4A" w14:paraId="1232BEC0" w14:textId="77777777" w:rsidTr="00C10CCF">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31166E89" w14:textId="77777777" w:rsidR="00943A4A" w:rsidRDefault="00943A4A" w:rsidP="00C10CCF">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449B3AFC" w14:textId="4B7C816D" w:rsidR="00943A4A" w:rsidRDefault="00943A4A" w:rsidP="00C10CCF">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20</w:t>
            </w:r>
            <w:r>
              <w:rPr>
                <w:rFonts w:ascii="Garamond" w:eastAsia="Myriad Pro" w:hAnsi="Garamond" w:cs="Myriad Pro"/>
                <w:color w:val="231F20"/>
                <w:sz w:val="24"/>
                <w:szCs w:val="24"/>
              </w:rPr>
              <w:t>. veljače 2026. godine</w:t>
            </w:r>
          </w:p>
        </w:tc>
      </w:tr>
      <w:tr w:rsidR="00943A4A" w14:paraId="235C2431" w14:textId="77777777" w:rsidTr="00C10CCF">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FCC8020" w14:textId="44A14546" w:rsidR="00943A4A" w:rsidRDefault="00943A4A" w:rsidP="00C10CCF">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xml:space="preserve">, prijedloga ili </w:t>
            </w:r>
            <w:r w:rsidRPr="00943A4A">
              <w:rPr>
                <w:rFonts w:ascii="Garamond" w:eastAsia="Myriad Pro" w:hAnsi="Garamond" w:cs="Myriad Pro"/>
                <w:color w:val="231F20"/>
                <w:sz w:val="24"/>
                <w:szCs w:val="24"/>
              </w:rPr>
              <w:t>p</w:t>
            </w:r>
            <w:r w:rsidRPr="00943A4A">
              <w:rPr>
                <w:rFonts w:ascii="Garamond" w:eastAsia="Myriad Pro" w:hAnsi="Garamond" w:cs="Myriad Pro"/>
                <w:color w:val="231F20"/>
                <w:spacing w:val="-2"/>
                <w:sz w:val="24"/>
                <w:szCs w:val="24"/>
              </w:rPr>
              <w:t>r</w:t>
            </w:r>
            <w:r w:rsidRPr="00943A4A">
              <w:rPr>
                <w:rFonts w:ascii="Garamond" w:eastAsia="Myriad Pro" w:hAnsi="Garamond" w:cs="Myriad Pro"/>
                <w:color w:val="231F20"/>
                <w:sz w:val="24"/>
                <w:szCs w:val="24"/>
              </w:rPr>
              <w:t>oblema o kojemu se p</w:t>
            </w:r>
            <w:r w:rsidRPr="00943A4A">
              <w:rPr>
                <w:rFonts w:ascii="Garamond" w:eastAsia="Myriad Pro" w:hAnsi="Garamond" w:cs="Myriad Pro"/>
                <w:color w:val="231F20"/>
                <w:spacing w:val="-2"/>
                <w:sz w:val="24"/>
                <w:szCs w:val="24"/>
              </w:rPr>
              <w:t>rov</w:t>
            </w:r>
            <w:r w:rsidRPr="00943A4A">
              <w:rPr>
                <w:rFonts w:ascii="Garamond" w:eastAsia="Myriad Pro" w:hAnsi="Garamond" w:cs="Myriad Pro"/>
                <w:color w:val="231F20"/>
                <w:sz w:val="24"/>
                <w:szCs w:val="24"/>
              </w:rPr>
              <w:t>odi s</w:t>
            </w:r>
            <w:r w:rsidRPr="00943A4A">
              <w:rPr>
                <w:rFonts w:ascii="Garamond" w:eastAsia="Myriad Pro" w:hAnsi="Garamond" w:cs="Myriad Pro"/>
                <w:color w:val="231F20"/>
                <w:spacing w:val="-2"/>
                <w:sz w:val="24"/>
                <w:szCs w:val="24"/>
              </w:rPr>
              <w:t>a</w:t>
            </w:r>
            <w:r w:rsidRPr="00943A4A">
              <w:rPr>
                <w:rFonts w:ascii="Garamond" w:eastAsia="Myriad Pro" w:hAnsi="Garamond" w:cs="Myriad Pro"/>
                <w:color w:val="231F20"/>
                <w:sz w:val="24"/>
                <w:szCs w:val="24"/>
              </w:rPr>
              <w:t>vje</w:t>
            </w:r>
            <w:r w:rsidRPr="00943A4A">
              <w:rPr>
                <w:rFonts w:ascii="Garamond" w:eastAsia="Myriad Pro" w:hAnsi="Garamond" w:cs="Myriad Pro"/>
                <w:color w:val="231F20"/>
                <w:spacing w:val="-1"/>
                <w:sz w:val="24"/>
                <w:szCs w:val="24"/>
              </w:rPr>
              <w:t>t</w:t>
            </w:r>
            <w:r w:rsidRPr="00943A4A">
              <w:rPr>
                <w:rFonts w:ascii="Garamond" w:eastAsia="Myriad Pro" w:hAnsi="Garamond" w:cs="Myriad Pro"/>
                <w:color w:val="231F20"/>
                <w:spacing w:val="-2"/>
                <w:sz w:val="24"/>
                <w:szCs w:val="24"/>
              </w:rPr>
              <w:t>o</w:t>
            </w:r>
            <w:r w:rsidRPr="00943A4A">
              <w:rPr>
                <w:rFonts w:ascii="Garamond" w:eastAsia="Myriad Pro" w:hAnsi="Garamond" w:cs="Myriad Pro"/>
                <w:color w:val="231F20"/>
                <w:spacing w:val="-1"/>
                <w:sz w:val="24"/>
                <w:szCs w:val="24"/>
              </w:rPr>
              <w:t>v</w:t>
            </w:r>
            <w:r w:rsidRPr="00943A4A">
              <w:rPr>
                <w:rFonts w:ascii="Garamond" w:eastAsia="Myriad Pro" w:hAnsi="Garamond" w:cs="Myriad Pro"/>
                <w:color w:val="231F20"/>
                <w:sz w:val="24"/>
                <w:szCs w:val="24"/>
              </w:rPr>
              <w:t xml:space="preserve">anje: Savjetovanje se provodi o prijedlogu Odluke o </w:t>
            </w:r>
            <w:r w:rsidRPr="00943A4A">
              <w:rPr>
                <w:rFonts w:ascii="Garamond" w:hAnsi="Garamond"/>
                <w:sz w:val="24"/>
                <w:szCs w:val="24"/>
              </w:rPr>
              <w:t>lokaciji, održavanju i godišnjem planu uzorkovanja vode namijenjene za ljudsku potrošnju koja se koristi na javnim slavinama na području Općine Punat</w:t>
            </w:r>
            <w:r w:rsidRPr="00943A4A">
              <w:rPr>
                <w:rFonts w:ascii="Garamond" w:eastAsia="Myriad Pro" w:hAnsi="Garamond" w:cs="Myriad Pro"/>
                <w:color w:val="231F20"/>
                <w:sz w:val="24"/>
                <w:szCs w:val="24"/>
              </w:rPr>
              <w:t>.</w:t>
            </w:r>
          </w:p>
        </w:tc>
      </w:tr>
      <w:tr w:rsidR="00943A4A" w14:paraId="14F2CA2B" w14:textId="77777777" w:rsidTr="00C10CCF">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0E53A1A" w14:textId="77777777" w:rsidR="00943A4A" w:rsidRDefault="00943A4A" w:rsidP="00C10CCF">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943A4A" w14:paraId="33537894" w14:textId="77777777" w:rsidTr="00C10CCF">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1429B7A" w14:textId="77777777" w:rsidR="00943A4A" w:rsidRDefault="00943A4A" w:rsidP="00C10CCF">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Savjetovanje se provodi javnom objavom na web stranici Općine Punat putem priloženog obrasca za sudjelovanje u savjetovanju.</w:t>
            </w:r>
          </w:p>
        </w:tc>
      </w:tr>
      <w:tr w:rsidR="00943A4A" w14:paraId="1CB59E3E" w14:textId="77777777" w:rsidTr="00C10CCF">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44596C4" w14:textId="03779D33" w:rsidR="00943A4A" w:rsidRDefault="00943A4A" w:rsidP="00C10CCF">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Savjetovanje je otvoreno do 2</w:t>
            </w:r>
            <w:r>
              <w:rPr>
                <w:rFonts w:ascii="Garamond" w:eastAsia="Myriad Pro" w:hAnsi="Garamond" w:cs="Myriad Pro"/>
                <w:color w:val="231F20"/>
                <w:sz w:val="24"/>
                <w:szCs w:val="24"/>
              </w:rPr>
              <w:t>2</w:t>
            </w:r>
            <w:r>
              <w:rPr>
                <w:rFonts w:ascii="Garamond" w:eastAsia="Myriad Pro" w:hAnsi="Garamond" w:cs="Myriad Pro"/>
                <w:color w:val="231F20"/>
                <w:sz w:val="24"/>
                <w:szCs w:val="24"/>
              </w:rPr>
              <w:t>. ožujka 2026. godine. Povratne informacije bit će pružene putem Izvješća o provedenom savjetovanju koje će se po zaključenju savjetovanja objaviti na web stranici kao prilog savjetovanja.</w:t>
            </w:r>
          </w:p>
        </w:tc>
      </w:tr>
      <w:tr w:rsidR="00943A4A" w14:paraId="7B1FB3D9" w14:textId="77777777" w:rsidTr="00943A4A">
        <w:trPr>
          <w:trHeight w:val="94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3BCE79B4" w14:textId="436A4F70" w:rsidR="00943A4A" w:rsidRPr="00943A4A" w:rsidRDefault="00943A4A" w:rsidP="00943A4A">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Anamariji Rimay Bjelobabi, mag.iur., viša stručna suradnica za pravne poslove, pismeno na adresu Općine Punat, Novi put 2, 51521 Punat ili putem elektronske pošte na e-mail adresu: </w:t>
            </w:r>
            <w:r>
              <w:rPr>
                <w:rFonts w:ascii="Garamond" w:eastAsia="Myriad Pro" w:hAnsi="Garamond" w:cs="Myriad Pro"/>
                <w:sz w:val="24"/>
                <w:szCs w:val="24"/>
              </w:rPr>
              <w:t>anamarija.rimay@punat.hr</w:t>
            </w:r>
          </w:p>
        </w:tc>
      </w:tr>
      <w:tr w:rsidR="00943A4A" w14:paraId="58D0D016" w14:textId="77777777" w:rsidTr="00C10CCF">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0A437449" w14:textId="77777777" w:rsidR="00943A4A" w:rsidRDefault="00943A4A" w:rsidP="00C10CCF">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43A4A" w14:paraId="6D5E8347" w14:textId="77777777" w:rsidTr="00C10CCF">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5DCBC557" w14:textId="77777777" w:rsidR="00943A4A" w:rsidRDefault="00943A4A" w:rsidP="00C10CCF">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Općine Punat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943A4A" w14:paraId="567A0ABB" w14:textId="77777777" w:rsidTr="00C10CCF">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5DDF317A" w14:textId="77777777" w:rsidR="00943A4A" w:rsidRDefault="00943A4A" w:rsidP="00C10CCF">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319AAD61" w14:textId="77777777" w:rsidR="00CE02E1" w:rsidRDefault="00CE02E1"/>
    <w:sectPr w:rsidR="00CE02E1" w:rsidSect="00943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4A"/>
    <w:rsid w:val="003C3C68"/>
    <w:rsid w:val="00780373"/>
    <w:rsid w:val="00943A4A"/>
    <w:rsid w:val="00CE02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8018"/>
  <w15:chartTrackingRefBased/>
  <w15:docId w15:val="{70F0FB28-5760-490C-9CCA-702BCB91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4A"/>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43A4A"/>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3A4A"/>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3A4A"/>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3A4A"/>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3A4A"/>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3A4A"/>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3A4A"/>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3A4A"/>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3A4A"/>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A4A"/>
    <w:rPr>
      <w:rFonts w:eastAsiaTheme="majorEastAsia" w:cstheme="majorBidi"/>
      <w:color w:val="272727" w:themeColor="text1" w:themeTint="D8"/>
    </w:rPr>
  </w:style>
  <w:style w:type="paragraph" w:styleId="Title">
    <w:name w:val="Title"/>
    <w:basedOn w:val="Normal"/>
    <w:next w:val="Normal"/>
    <w:link w:val="TitleChar"/>
    <w:uiPriority w:val="10"/>
    <w:qFormat/>
    <w:rsid w:val="00943A4A"/>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3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A4A"/>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3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A4A"/>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3A4A"/>
    <w:rPr>
      <w:i/>
      <w:iCs/>
      <w:color w:val="404040" w:themeColor="text1" w:themeTint="BF"/>
    </w:rPr>
  </w:style>
  <w:style w:type="paragraph" w:styleId="ListParagraph">
    <w:name w:val="List Paragraph"/>
    <w:basedOn w:val="Normal"/>
    <w:uiPriority w:val="34"/>
    <w:qFormat/>
    <w:rsid w:val="00943A4A"/>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43A4A"/>
    <w:rPr>
      <w:i/>
      <w:iCs/>
      <w:color w:val="0F4761" w:themeColor="accent1" w:themeShade="BF"/>
    </w:rPr>
  </w:style>
  <w:style w:type="paragraph" w:styleId="IntenseQuote">
    <w:name w:val="Intense Quote"/>
    <w:basedOn w:val="Normal"/>
    <w:next w:val="Normal"/>
    <w:link w:val="IntenseQuoteChar"/>
    <w:uiPriority w:val="30"/>
    <w:qFormat/>
    <w:rsid w:val="00943A4A"/>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3A4A"/>
    <w:rPr>
      <w:i/>
      <w:iCs/>
      <w:color w:val="0F4761" w:themeColor="accent1" w:themeShade="BF"/>
    </w:rPr>
  </w:style>
  <w:style w:type="character" w:styleId="IntenseReference">
    <w:name w:val="Intense Reference"/>
    <w:basedOn w:val="DefaultParagraphFont"/>
    <w:uiPriority w:val="32"/>
    <w:qFormat/>
    <w:rsid w:val="00943A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1</cp:revision>
  <dcterms:created xsi:type="dcterms:W3CDTF">2026-02-20T07:16:00Z</dcterms:created>
  <dcterms:modified xsi:type="dcterms:W3CDTF">2026-02-20T07:19:00Z</dcterms:modified>
</cp:coreProperties>
</file>