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F96E" w14:textId="7C96AF59" w:rsidR="00AB6ECF" w:rsidRPr="006058B8" w:rsidRDefault="00AB6ECF" w:rsidP="00AB6ECF">
      <w:pPr>
        <w:spacing w:after="0" w:line="240" w:lineRule="auto"/>
        <w:jc w:val="right"/>
        <w:rPr>
          <w:rFonts w:ascii="Garamond" w:eastAsia="Times New Roman" w:hAnsi="Garamond" w:cs="Times New Roman"/>
          <w:b/>
          <w:bCs/>
          <w:i/>
          <w:iCs/>
          <w:color w:val="000000"/>
          <w:sz w:val="24"/>
          <w:szCs w:val="24"/>
          <w:lang w:val="hr-HR" w:eastAsia="hr-HR"/>
        </w:rPr>
      </w:pPr>
      <w:r w:rsidRPr="006058B8">
        <w:rPr>
          <w:rFonts w:ascii="Garamond" w:eastAsia="Times New Roman" w:hAnsi="Garamond" w:cs="Times New Roman"/>
          <w:b/>
          <w:bCs/>
          <w:i/>
          <w:iCs/>
          <w:color w:val="000000"/>
          <w:sz w:val="24"/>
          <w:szCs w:val="24"/>
          <w:lang w:val="hr-HR" w:eastAsia="hr-HR"/>
        </w:rPr>
        <w:t>- Prijedlog-</w:t>
      </w:r>
    </w:p>
    <w:p w14:paraId="4A0B0DC5" w14:textId="260A3C46" w:rsidR="00100221" w:rsidRPr="006058B8" w:rsidRDefault="00AB6ECF" w:rsidP="00AB6ECF">
      <w:pPr>
        <w:ind w:firstLine="708"/>
        <w:jc w:val="both"/>
        <w:rPr>
          <w:rFonts w:ascii="Garamond" w:hAnsi="Garamond"/>
          <w:color w:val="000000"/>
          <w:sz w:val="24"/>
          <w:szCs w:val="24"/>
          <w:shd w:val="clear" w:color="auto" w:fill="FFFFFF"/>
        </w:rPr>
      </w:pPr>
      <w:r w:rsidRPr="006058B8">
        <w:rPr>
          <w:rFonts w:ascii="Garamond" w:hAnsi="Garamond"/>
          <w:color w:val="000000"/>
          <w:sz w:val="24"/>
          <w:szCs w:val="24"/>
          <w:shd w:val="clear" w:color="auto" w:fill="FFFFFF"/>
        </w:rPr>
        <w:t>Na temelju članka 104. stavka 1. i stavak 5. Zakona o komunalnom gospodarstvu (“Narodne novine“ broj 68/18, 110/18, 32/20 i 145/24) i članka 3</w:t>
      </w:r>
      <w:r w:rsidR="00510267">
        <w:rPr>
          <w:rFonts w:ascii="Garamond" w:hAnsi="Garamond"/>
          <w:color w:val="000000"/>
          <w:sz w:val="24"/>
          <w:szCs w:val="24"/>
          <w:shd w:val="clear" w:color="auto" w:fill="FFFFFF"/>
        </w:rPr>
        <w:t>2</w:t>
      </w:r>
      <w:r w:rsidRPr="006058B8">
        <w:rPr>
          <w:rFonts w:ascii="Garamond" w:hAnsi="Garamond"/>
          <w:color w:val="000000"/>
          <w:sz w:val="24"/>
          <w:szCs w:val="24"/>
          <w:shd w:val="clear" w:color="auto" w:fill="FFFFFF"/>
        </w:rPr>
        <w:t>. Statuta Općine Punat („Službene novine Primorsko-goranske županije“ broj</w:t>
      </w:r>
      <w:r w:rsidR="002735FD">
        <w:rPr>
          <w:rFonts w:ascii="Garamond" w:hAnsi="Garamond"/>
          <w:color w:val="000000"/>
          <w:sz w:val="24"/>
          <w:szCs w:val="24"/>
          <w:shd w:val="clear" w:color="auto" w:fill="FFFFFF"/>
        </w:rPr>
        <w:t xml:space="preserve"> 36/22</w:t>
      </w:r>
      <w:r w:rsidRPr="006058B8">
        <w:rPr>
          <w:rFonts w:ascii="Garamond" w:hAnsi="Garamond"/>
          <w:color w:val="000000"/>
          <w:sz w:val="24"/>
          <w:szCs w:val="24"/>
          <w:shd w:val="clear" w:color="auto" w:fill="FFFFFF"/>
        </w:rPr>
        <w:t>) Općinsko vijeće Općine Punat na _____. sjednici održanoj__________2026. godine, donosi</w:t>
      </w:r>
    </w:p>
    <w:p w14:paraId="08481179" w14:textId="77777777" w:rsidR="00AB6ECF" w:rsidRPr="006058B8" w:rsidRDefault="00AB6ECF" w:rsidP="00AB6ECF">
      <w:pPr>
        <w:ind w:firstLine="708"/>
        <w:jc w:val="both"/>
        <w:rPr>
          <w:rFonts w:ascii="Garamond" w:hAnsi="Garamond"/>
          <w:color w:val="000000"/>
          <w:sz w:val="24"/>
          <w:szCs w:val="24"/>
          <w:shd w:val="clear" w:color="auto" w:fill="FFFFFF"/>
        </w:rPr>
      </w:pPr>
    </w:p>
    <w:p w14:paraId="515F3620" w14:textId="77777777" w:rsidR="00AB6ECF" w:rsidRPr="00AB6ECF" w:rsidRDefault="00AB6ECF" w:rsidP="002735FD">
      <w:pPr>
        <w:spacing w:after="0"/>
        <w:ind w:firstLine="708"/>
        <w:jc w:val="center"/>
        <w:rPr>
          <w:rFonts w:ascii="Garamond" w:hAnsi="Garamond"/>
          <w:b/>
          <w:bCs/>
          <w:sz w:val="24"/>
          <w:szCs w:val="24"/>
          <w:lang w:val="hr-HR"/>
        </w:rPr>
      </w:pPr>
      <w:r w:rsidRPr="00AB6ECF">
        <w:rPr>
          <w:rFonts w:ascii="Garamond" w:hAnsi="Garamond"/>
          <w:b/>
          <w:bCs/>
          <w:sz w:val="24"/>
          <w:szCs w:val="24"/>
          <w:lang w:val="hr-HR"/>
        </w:rPr>
        <w:t>ODLUKU</w:t>
      </w:r>
    </w:p>
    <w:p w14:paraId="4CAC4D34" w14:textId="5219826B" w:rsidR="00AB6ECF" w:rsidRDefault="00AB6ECF" w:rsidP="002735FD">
      <w:pPr>
        <w:spacing w:after="0"/>
        <w:ind w:firstLine="708"/>
        <w:jc w:val="center"/>
        <w:rPr>
          <w:rFonts w:ascii="Garamond" w:hAnsi="Garamond"/>
          <w:b/>
          <w:bCs/>
          <w:sz w:val="24"/>
          <w:szCs w:val="24"/>
          <w:lang w:val="hr-HR"/>
        </w:rPr>
      </w:pPr>
      <w:r w:rsidRPr="00AB6ECF">
        <w:rPr>
          <w:rFonts w:ascii="Garamond" w:hAnsi="Garamond"/>
          <w:b/>
          <w:bCs/>
          <w:sz w:val="24"/>
          <w:szCs w:val="24"/>
          <w:lang w:val="hr-HR"/>
        </w:rPr>
        <w:t xml:space="preserve">o </w:t>
      </w:r>
      <w:r w:rsidRPr="006058B8">
        <w:rPr>
          <w:rFonts w:ascii="Garamond" w:hAnsi="Garamond"/>
          <w:b/>
          <w:bCs/>
          <w:sz w:val="24"/>
          <w:szCs w:val="24"/>
          <w:lang w:val="hr-HR"/>
        </w:rPr>
        <w:t>izmjeni</w:t>
      </w:r>
      <w:r w:rsidRPr="00AB6ECF">
        <w:rPr>
          <w:rFonts w:ascii="Garamond" w:hAnsi="Garamond"/>
          <w:b/>
          <w:bCs/>
          <w:sz w:val="24"/>
          <w:szCs w:val="24"/>
          <w:lang w:val="hr-HR"/>
        </w:rPr>
        <w:t xml:space="preserve"> Odluke o zakupu javnih površina</w:t>
      </w:r>
    </w:p>
    <w:p w14:paraId="2E79852D" w14:textId="77777777" w:rsidR="002735FD" w:rsidRPr="00AB6ECF" w:rsidRDefault="002735FD" w:rsidP="002735FD">
      <w:pPr>
        <w:spacing w:after="0"/>
        <w:ind w:firstLine="708"/>
        <w:jc w:val="center"/>
        <w:rPr>
          <w:rFonts w:ascii="Garamond" w:hAnsi="Garamond"/>
          <w:b/>
          <w:bCs/>
          <w:sz w:val="24"/>
          <w:szCs w:val="24"/>
          <w:lang w:val="hr-HR"/>
        </w:rPr>
      </w:pPr>
    </w:p>
    <w:p w14:paraId="091AAD18" w14:textId="77777777" w:rsidR="00AB6ECF" w:rsidRPr="00AB6ECF" w:rsidRDefault="00AB6ECF" w:rsidP="002735FD">
      <w:pPr>
        <w:spacing w:after="0"/>
        <w:ind w:firstLine="708"/>
        <w:jc w:val="center"/>
        <w:rPr>
          <w:rFonts w:ascii="Garamond" w:hAnsi="Garamond"/>
          <w:b/>
          <w:bCs/>
          <w:sz w:val="24"/>
          <w:szCs w:val="24"/>
          <w:lang w:val="hr-HR"/>
        </w:rPr>
      </w:pPr>
      <w:r w:rsidRPr="00AB6ECF">
        <w:rPr>
          <w:rFonts w:ascii="Garamond" w:hAnsi="Garamond"/>
          <w:b/>
          <w:bCs/>
          <w:sz w:val="24"/>
          <w:szCs w:val="24"/>
          <w:lang w:val="hr-HR"/>
        </w:rPr>
        <w:t>Članak 1.</w:t>
      </w:r>
    </w:p>
    <w:p w14:paraId="612A2B81" w14:textId="108B83F9" w:rsidR="002735FD" w:rsidRDefault="00AB6ECF" w:rsidP="002735FD">
      <w:pPr>
        <w:spacing w:after="0"/>
        <w:ind w:firstLine="708"/>
        <w:jc w:val="both"/>
        <w:rPr>
          <w:rFonts w:ascii="Garamond" w:hAnsi="Garamond"/>
          <w:sz w:val="24"/>
          <w:szCs w:val="24"/>
        </w:rPr>
      </w:pPr>
      <w:r w:rsidRPr="006058B8">
        <w:rPr>
          <w:rFonts w:ascii="Garamond" w:hAnsi="Garamond"/>
          <w:sz w:val="24"/>
          <w:szCs w:val="24"/>
        </w:rPr>
        <w:t>U Odluci o zakupu javnih površina („Službene novine Primorsko-goranske županije“ broj 10/19) član</w:t>
      </w:r>
      <w:r w:rsidR="00771B78">
        <w:rPr>
          <w:rFonts w:ascii="Garamond" w:hAnsi="Garamond"/>
          <w:sz w:val="24"/>
          <w:szCs w:val="24"/>
        </w:rPr>
        <w:t>a</w:t>
      </w:r>
      <w:r w:rsidRPr="006058B8">
        <w:rPr>
          <w:rFonts w:ascii="Garamond" w:hAnsi="Garamond"/>
          <w:sz w:val="24"/>
          <w:szCs w:val="24"/>
        </w:rPr>
        <w:t>k</w:t>
      </w:r>
      <w:r w:rsidR="00771B78">
        <w:rPr>
          <w:rFonts w:ascii="Garamond" w:hAnsi="Garamond"/>
          <w:sz w:val="24"/>
          <w:szCs w:val="24"/>
        </w:rPr>
        <w:t xml:space="preserve"> </w:t>
      </w:r>
      <w:r w:rsidRPr="006058B8">
        <w:rPr>
          <w:rFonts w:ascii="Garamond" w:hAnsi="Garamond"/>
          <w:sz w:val="24"/>
          <w:szCs w:val="24"/>
        </w:rPr>
        <w:t xml:space="preserve">3. </w:t>
      </w:r>
      <w:r w:rsidR="00771B78">
        <w:rPr>
          <w:rFonts w:ascii="Garamond" w:hAnsi="Garamond"/>
          <w:sz w:val="24"/>
          <w:szCs w:val="24"/>
        </w:rPr>
        <w:t>mijenja se i sada glasi:</w:t>
      </w:r>
    </w:p>
    <w:p w14:paraId="58D1BE44" w14:textId="4AD89CCB" w:rsidR="00771B78" w:rsidRPr="00771B78" w:rsidRDefault="00771B78" w:rsidP="00771B78">
      <w:pPr>
        <w:spacing w:after="0"/>
        <w:ind w:firstLine="708"/>
        <w:jc w:val="both"/>
        <w:rPr>
          <w:rFonts w:ascii="Garamond" w:hAnsi="Garamond"/>
          <w:sz w:val="24"/>
          <w:szCs w:val="24"/>
        </w:rPr>
      </w:pPr>
      <w:r>
        <w:rPr>
          <w:rFonts w:ascii="Garamond" w:hAnsi="Garamond"/>
          <w:sz w:val="24"/>
          <w:szCs w:val="24"/>
        </w:rPr>
        <w:t>“</w:t>
      </w:r>
      <w:r w:rsidRPr="00771B78">
        <w:rPr>
          <w:rFonts w:ascii="Garamond" w:hAnsi="Garamond"/>
          <w:sz w:val="24"/>
          <w:szCs w:val="24"/>
        </w:rPr>
        <w:t>Javna površina u blizini ugostiteljskih objekata može se zakupiti u svrhu postavljanja ugostiteljske terase.</w:t>
      </w:r>
    </w:p>
    <w:p w14:paraId="52DE7B7E" w14:textId="2FE8B3E1" w:rsidR="00771B78" w:rsidRPr="00771B78" w:rsidRDefault="00771B78" w:rsidP="00EA0DA2">
      <w:pPr>
        <w:spacing w:after="0"/>
        <w:ind w:firstLine="708"/>
        <w:jc w:val="both"/>
        <w:rPr>
          <w:rFonts w:ascii="Garamond" w:hAnsi="Garamond"/>
          <w:sz w:val="24"/>
          <w:szCs w:val="24"/>
        </w:rPr>
      </w:pPr>
      <w:r w:rsidRPr="00771B78">
        <w:rPr>
          <w:rFonts w:ascii="Garamond" w:hAnsi="Garamond"/>
          <w:sz w:val="24"/>
          <w:szCs w:val="24"/>
        </w:rPr>
        <w:t>Lokacija iz stavka 1. ovog članka može se zakupiti isključivo od strane fizičkih i pravnih osoba registriranih za ugostiteljsku djelatnost koji ugostiteljsku djelatnost obavljaju u poslovnom objektu koji graniči sa javnom površinom koja je predmetom zakupa</w:t>
      </w:r>
      <w:r>
        <w:rPr>
          <w:rFonts w:ascii="Garamond" w:hAnsi="Garamond"/>
          <w:sz w:val="24"/>
          <w:szCs w:val="24"/>
        </w:rPr>
        <w:t>.</w:t>
      </w:r>
    </w:p>
    <w:p w14:paraId="250EB429" w14:textId="3782D577" w:rsidR="00771B78" w:rsidRDefault="00771B78" w:rsidP="00771B78">
      <w:pPr>
        <w:spacing w:after="0"/>
        <w:ind w:firstLine="708"/>
        <w:jc w:val="both"/>
        <w:rPr>
          <w:rFonts w:ascii="Garamond" w:hAnsi="Garamond"/>
          <w:sz w:val="24"/>
          <w:szCs w:val="24"/>
        </w:rPr>
      </w:pPr>
      <w:r w:rsidRPr="00771B78">
        <w:rPr>
          <w:rFonts w:ascii="Garamond" w:hAnsi="Garamond"/>
          <w:sz w:val="24"/>
          <w:szCs w:val="24"/>
        </w:rPr>
        <w:t>Pravo prvenstva kod sklapanja ugovora o zakupu javne površine u svrhu postavljanja ugostiteljske terase imaju fizičke i pravne osobe iz stavka 2. ovog članka koji ugostiteljsku djelatnost obavljaju tijekom cijele godine na području Općine Punat pod uvjetom da prihvate najvišu ponuđenu cijenu od strane ponuditelja iz stavka 2. ovog članka u postupku javnog natječaja.</w:t>
      </w:r>
      <w:r w:rsidR="006C11BA">
        <w:rPr>
          <w:rFonts w:ascii="Garamond" w:hAnsi="Garamond"/>
          <w:sz w:val="24"/>
          <w:szCs w:val="24"/>
        </w:rPr>
        <w:t>”</w:t>
      </w:r>
    </w:p>
    <w:p w14:paraId="12ECAB44" w14:textId="77777777" w:rsidR="00AB6ECF" w:rsidRPr="006058B8" w:rsidRDefault="00AB6ECF" w:rsidP="002735FD">
      <w:pPr>
        <w:spacing w:after="0"/>
        <w:ind w:firstLine="708"/>
        <w:jc w:val="center"/>
        <w:rPr>
          <w:rFonts w:ascii="Garamond" w:hAnsi="Garamond"/>
          <w:b/>
          <w:bCs/>
          <w:sz w:val="24"/>
          <w:szCs w:val="24"/>
          <w:lang w:val="hr-HR"/>
        </w:rPr>
      </w:pPr>
    </w:p>
    <w:p w14:paraId="15D96EAC" w14:textId="77777777" w:rsidR="00C221B4" w:rsidRPr="006058B8" w:rsidRDefault="00AB6ECF" w:rsidP="002735FD">
      <w:pPr>
        <w:spacing w:after="0" w:line="240" w:lineRule="auto"/>
        <w:ind w:firstLine="709"/>
        <w:jc w:val="center"/>
        <w:rPr>
          <w:rFonts w:ascii="Garamond" w:hAnsi="Garamond"/>
          <w:b/>
          <w:bCs/>
          <w:sz w:val="24"/>
          <w:szCs w:val="24"/>
          <w:lang w:val="hr-HR"/>
        </w:rPr>
      </w:pPr>
      <w:r w:rsidRPr="00AB6ECF">
        <w:rPr>
          <w:rFonts w:ascii="Garamond" w:hAnsi="Garamond"/>
          <w:b/>
          <w:bCs/>
          <w:sz w:val="24"/>
          <w:szCs w:val="24"/>
          <w:lang w:val="hr-HR"/>
        </w:rPr>
        <w:t xml:space="preserve">Članak </w:t>
      </w:r>
      <w:r w:rsidRPr="006058B8">
        <w:rPr>
          <w:rFonts w:ascii="Garamond" w:hAnsi="Garamond"/>
          <w:b/>
          <w:bCs/>
          <w:sz w:val="24"/>
          <w:szCs w:val="24"/>
          <w:lang w:val="hr-HR"/>
        </w:rPr>
        <w:t>2</w:t>
      </w:r>
      <w:r w:rsidRPr="00AB6ECF">
        <w:rPr>
          <w:rFonts w:ascii="Garamond" w:hAnsi="Garamond"/>
          <w:b/>
          <w:bCs/>
          <w:sz w:val="24"/>
          <w:szCs w:val="24"/>
          <w:lang w:val="hr-HR"/>
        </w:rPr>
        <w:t>.</w:t>
      </w:r>
    </w:p>
    <w:p w14:paraId="7D885C63" w14:textId="565BABC4" w:rsidR="00AB6ECF" w:rsidRPr="006058B8" w:rsidRDefault="00C221B4" w:rsidP="002735FD">
      <w:pPr>
        <w:spacing w:after="0" w:line="240" w:lineRule="auto"/>
        <w:ind w:firstLine="708"/>
        <w:rPr>
          <w:rFonts w:ascii="Garamond" w:hAnsi="Garamond"/>
          <w:b/>
          <w:bCs/>
          <w:sz w:val="24"/>
          <w:szCs w:val="24"/>
          <w:lang w:val="hr-HR"/>
        </w:rPr>
      </w:pPr>
      <w:r w:rsidRPr="006058B8">
        <w:rPr>
          <w:rFonts w:ascii="Garamond" w:hAnsi="Garamond"/>
          <w:sz w:val="24"/>
          <w:szCs w:val="24"/>
        </w:rPr>
        <w:t>Ostale odredbe ove Odluke ostaju nepromijenjene</w:t>
      </w:r>
    </w:p>
    <w:p w14:paraId="68E4BF57" w14:textId="77777777" w:rsidR="006058B8" w:rsidRPr="006058B8" w:rsidRDefault="006058B8" w:rsidP="002735FD">
      <w:pPr>
        <w:spacing w:after="0" w:line="240" w:lineRule="auto"/>
        <w:jc w:val="center"/>
        <w:rPr>
          <w:rFonts w:ascii="Garamond" w:eastAsia="Times New Roman" w:hAnsi="Garamond" w:cs="Times New Roman"/>
          <w:b/>
          <w:color w:val="000000"/>
          <w:sz w:val="24"/>
          <w:szCs w:val="24"/>
          <w:lang w:val="hr-HR" w:eastAsia="hr-HR"/>
        </w:rPr>
      </w:pPr>
    </w:p>
    <w:p w14:paraId="58C2F78D" w14:textId="7B1AB563" w:rsidR="006058B8" w:rsidRPr="006058B8" w:rsidRDefault="006058B8" w:rsidP="002735FD">
      <w:pPr>
        <w:spacing w:after="0" w:line="240" w:lineRule="auto"/>
        <w:jc w:val="center"/>
        <w:rPr>
          <w:rFonts w:ascii="Garamond" w:eastAsia="Times New Roman" w:hAnsi="Garamond" w:cs="Times New Roman"/>
          <w:b/>
          <w:color w:val="000000"/>
          <w:sz w:val="24"/>
          <w:szCs w:val="24"/>
          <w:lang w:val="hr-HR" w:eastAsia="hr-HR"/>
        </w:rPr>
      </w:pPr>
      <w:r w:rsidRPr="006058B8">
        <w:rPr>
          <w:rFonts w:ascii="Garamond" w:eastAsia="Times New Roman" w:hAnsi="Garamond" w:cs="Times New Roman"/>
          <w:b/>
          <w:color w:val="000000"/>
          <w:sz w:val="24"/>
          <w:szCs w:val="24"/>
          <w:lang w:val="hr-HR" w:eastAsia="hr-HR"/>
        </w:rPr>
        <w:t xml:space="preserve">          Članak 3.</w:t>
      </w:r>
    </w:p>
    <w:p w14:paraId="4A9FC02D" w14:textId="4AAD8915" w:rsidR="006058B8" w:rsidRPr="006058B8" w:rsidRDefault="006058B8" w:rsidP="002735FD">
      <w:pPr>
        <w:spacing w:after="0" w:line="240" w:lineRule="auto"/>
        <w:jc w:val="both"/>
        <w:rPr>
          <w:rFonts w:ascii="Garamond" w:eastAsia="Times New Roman" w:hAnsi="Garamond" w:cs="Times New Roman"/>
          <w:color w:val="000000"/>
          <w:sz w:val="24"/>
          <w:szCs w:val="24"/>
          <w:lang w:val="hr-HR" w:eastAsia="hr-HR"/>
        </w:rPr>
      </w:pPr>
      <w:r w:rsidRPr="006058B8">
        <w:rPr>
          <w:rFonts w:ascii="Garamond" w:eastAsia="Times New Roman" w:hAnsi="Garamond" w:cs="Times New Roman"/>
          <w:color w:val="000000"/>
          <w:sz w:val="24"/>
          <w:szCs w:val="24"/>
          <w:lang w:val="hr-HR" w:eastAsia="hr-HR"/>
        </w:rPr>
        <w:t xml:space="preserve">       </w:t>
      </w:r>
      <w:r w:rsidRPr="006058B8">
        <w:rPr>
          <w:rFonts w:ascii="Garamond" w:eastAsia="Times New Roman" w:hAnsi="Garamond" w:cs="Times New Roman"/>
          <w:color w:val="000000"/>
          <w:sz w:val="24"/>
          <w:szCs w:val="24"/>
          <w:lang w:val="hr-HR" w:eastAsia="hr-HR"/>
        </w:rPr>
        <w:tab/>
        <w:t>Ova Odluka stupa na snagu osmog dana od dana objave u „Službenim novinama Primorsko-goranske županije“.</w:t>
      </w:r>
    </w:p>
    <w:p w14:paraId="6D9C6406" w14:textId="77777777" w:rsidR="006058B8" w:rsidRPr="006058B8" w:rsidRDefault="006058B8" w:rsidP="002735FD">
      <w:pPr>
        <w:spacing w:after="0" w:line="240" w:lineRule="auto"/>
        <w:jc w:val="both"/>
        <w:rPr>
          <w:rFonts w:ascii="Garamond" w:eastAsia="Times New Roman" w:hAnsi="Garamond" w:cs="Times New Roman"/>
          <w:color w:val="000000"/>
          <w:sz w:val="24"/>
          <w:szCs w:val="24"/>
          <w:lang w:val="hr-HR" w:eastAsia="hr-HR"/>
        </w:rPr>
      </w:pPr>
    </w:p>
    <w:p w14:paraId="23B626AE" w14:textId="77777777" w:rsidR="006058B8" w:rsidRPr="006058B8" w:rsidRDefault="006058B8" w:rsidP="006058B8">
      <w:pPr>
        <w:spacing w:after="0" w:line="240" w:lineRule="auto"/>
        <w:jc w:val="both"/>
        <w:rPr>
          <w:rFonts w:ascii="Garamond" w:eastAsia="Times New Roman" w:hAnsi="Garamond" w:cs="Times New Roman"/>
          <w:color w:val="000000"/>
          <w:sz w:val="24"/>
          <w:szCs w:val="24"/>
          <w:lang w:val="hr-HR" w:eastAsia="hr-HR"/>
        </w:rPr>
      </w:pPr>
    </w:p>
    <w:p w14:paraId="1DF6954A" w14:textId="77777777" w:rsidR="006058B8" w:rsidRPr="006058B8" w:rsidRDefault="006058B8" w:rsidP="006058B8">
      <w:pPr>
        <w:spacing w:after="0" w:line="240" w:lineRule="auto"/>
        <w:jc w:val="both"/>
        <w:rPr>
          <w:rFonts w:ascii="Garamond" w:eastAsia="Times New Roman" w:hAnsi="Garamond" w:cs="Times New Roman"/>
          <w:color w:val="000000"/>
          <w:sz w:val="24"/>
          <w:szCs w:val="24"/>
          <w:lang w:val="hr-HR" w:eastAsia="hr-HR"/>
        </w:rPr>
      </w:pPr>
    </w:p>
    <w:p w14:paraId="17C9F494" w14:textId="77777777" w:rsidR="006058B8" w:rsidRPr="006058B8" w:rsidRDefault="006058B8" w:rsidP="006058B8">
      <w:pPr>
        <w:spacing w:after="0" w:line="240" w:lineRule="auto"/>
        <w:jc w:val="center"/>
        <w:rPr>
          <w:rFonts w:ascii="Garamond" w:eastAsia="Times New Roman" w:hAnsi="Garamond" w:cs="Times New Roman"/>
          <w:sz w:val="24"/>
          <w:szCs w:val="24"/>
          <w:lang w:val="hr-HR" w:eastAsia="hr-HR"/>
        </w:rPr>
      </w:pPr>
      <w:r w:rsidRPr="006058B8">
        <w:rPr>
          <w:rFonts w:ascii="Garamond" w:eastAsia="Times New Roman" w:hAnsi="Garamond" w:cs="Times New Roman"/>
          <w:sz w:val="24"/>
          <w:szCs w:val="24"/>
          <w:lang w:val="hr-HR" w:eastAsia="hr-HR"/>
        </w:rPr>
        <w:t xml:space="preserve">OPĆINSKO VIJEĆE </w:t>
      </w:r>
    </w:p>
    <w:p w14:paraId="39B88A30" w14:textId="77777777" w:rsidR="006058B8" w:rsidRPr="006058B8" w:rsidRDefault="006058B8" w:rsidP="006058B8">
      <w:pPr>
        <w:spacing w:after="0" w:line="240" w:lineRule="auto"/>
        <w:jc w:val="center"/>
        <w:rPr>
          <w:rFonts w:ascii="Garamond" w:eastAsia="Times New Roman" w:hAnsi="Garamond" w:cs="Times New Roman"/>
          <w:sz w:val="24"/>
          <w:szCs w:val="24"/>
          <w:lang w:val="hr-HR" w:eastAsia="hr-HR"/>
        </w:rPr>
      </w:pPr>
      <w:r w:rsidRPr="006058B8">
        <w:rPr>
          <w:rFonts w:ascii="Garamond" w:eastAsia="Times New Roman" w:hAnsi="Garamond" w:cs="Times New Roman"/>
          <w:sz w:val="24"/>
          <w:szCs w:val="24"/>
          <w:lang w:val="hr-HR" w:eastAsia="hr-HR"/>
        </w:rPr>
        <w:t>OPĆINE PUNAT</w:t>
      </w:r>
    </w:p>
    <w:p w14:paraId="779A24A8" w14:textId="77777777" w:rsidR="006058B8" w:rsidRPr="006058B8" w:rsidRDefault="006058B8" w:rsidP="006058B8">
      <w:pPr>
        <w:spacing w:after="0" w:line="240" w:lineRule="auto"/>
        <w:jc w:val="center"/>
        <w:rPr>
          <w:rFonts w:ascii="Garamond" w:eastAsia="Times New Roman" w:hAnsi="Garamond" w:cs="Times New Roman"/>
          <w:sz w:val="24"/>
          <w:szCs w:val="24"/>
          <w:lang w:val="hr-HR" w:eastAsia="hr-HR"/>
        </w:rPr>
      </w:pPr>
    </w:p>
    <w:p w14:paraId="6F7D3D56" w14:textId="77777777" w:rsidR="006058B8" w:rsidRPr="006058B8" w:rsidRDefault="006058B8" w:rsidP="006058B8">
      <w:pPr>
        <w:spacing w:after="0" w:line="240" w:lineRule="auto"/>
        <w:jc w:val="center"/>
        <w:rPr>
          <w:rFonts w:ascii="Garamond" w:eastAsia="Times New Roman" w:hAnsi="Garamond" w:cs="Times New Roman"/>
          <w:sz w:val="24"/>
          <w:szCs w:val="24"/>
          <w:lang w:val="hr-HR" w:eastAsia="hr-HR"/>
        </w:rPr>
      </w:pPr>
    </w:p>
    <w:p w14:paraId="32A6F345" w14:textId="77777777" w:rsidR="006058B8" w:rsidRPr="006058B8" w:rsidRDefault="006058B8" w:rsidP="006058B8">
      <w:pPr>
        <w:spacing w:after="0" w:line="240" w:lineRule="auto"/>
        <w:jc w:val="center"/>
        <w:rPr>
          <w:rFonts w:ascii="Garamond" w:eastAsia="Times New Roman" w:hAnsi="Garamond" w:cs="Times New Roman"/>
          <w:sz w:val="24"/>
          <w:szCs w:val="24"/>
          <w:lang w:val="hr-HR" w:eastAsia="hr-HR"/>
        </w:rPr>
      </w:pPr>
    </w:p>
    <w:p w14:paraId="49CF6E9D" w14:textId="77777777" w:rsidR="006058B8" w:rsidRPr="006058B8" w:rsidRDefault="006058B8" w:rsidP="006058B8">
      <w:pPr>
        <w:spacing w:after="0" w:line="240" w:lineRule="auto"/>
        <w:jc w:val="both"/>
        <w:rPr>
          <w:rFonts w:ascii="Garamond" w:eastAsia="Times New Roman" w:hAnsi="Garamond" w:cs="Times New Roman"/>
          <w:sz w:val="24"/>
          <w:szCs w:val="24"/>
          <w:lang w:val="hr-HR" w:eastAsia="hr-HR"/>
        </w:rPr>
      </w:pPr>
    </w:p>
    <w:p w14:paraId="093CAF97" w14:textId="6F263DBE" w:rsidR="006058B8" w:rsidRPr="006058B8" w:rsidRDefault="006058B8" w:rsidP="006058B8">
      <w:pPr>
        <w:spacing w:after="0" w:line="240" w:lineRule="auto"/>
        <w:jc w:val="both"/>
        <w:rPr>
          <w:rFonts w:ascii="Garamond" w:eastAsia="Times New Roman" w:hAnsi="Garamond" w:cs="Times New Roman"/>
          <w:sz w:val="24"/>
          <w:szCs w:val="24"/>
          <w:lang w:val="hr-HR" w:eastAsia="hr-HR"/>
        </w:rPr>
      </w:pP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t xml:space="preserve">                                                              PREDSJEDNIK </w:t>
      </w:r>
    </w:p>
    <w:p w14:paraId="7828F9FC" w14:textId="77777777" w:rsidR="006058B8" w:rsidRPr="006058B8" w:rsidRDefault="006058B8" w:rsidP="006058B8">
      <w:pPr>
        <w:spacing w:after="0" w:line="240" w:lineRule="auto"/>
        <w:jc w:val="both"/>
        <w:rPr>
          <w:rFonts w:ascii="Garamond" w:eastAsia="Times New Roman" w:hAnsi="Garamond" w:cs="Times New Roman"/>
          <w:sz w:val="24"/>
          <w:szCs w:val="24"/>
          <w:lang w:val="hr-HR" w:eastAsia="hr-HR"/>
        </w:rPr>
      </w:pP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r>
      <w:r w:rsidRPr="006058B8">
        <w:rPr>
          <w:rFonts w:ascii="Garamond" w:eastAsia="Times New Roman" w:hAnsi="Garamond" w:cs="Times New Roman"/>
          <w:sz w:val="24"/>
          <w:szCs w:val="24"/>
          <w:lang w:val="hr-HR" w:eastAsia="hr-HR"/>
        </w:rPr>
        <w:tab/>
        <w:t xml:space="preserve">                        Ivan Orlić, mag. cin. </w:t>
      </w:r>
    </w:p>
    <w:p w14:paraId="570B3959" w14:textId="77777777" w:rsidR="006058B8" w:rsidRPr="006058B8" w:rsidRDefault="006058B8" w:rsidP="006058B8">
      <w:pPr>
        <w:spacing w:after="0" w:line="240" w:lineRule="auto"/>
        <w:rPr>
          <w:rFonts w:ascii="Garamond" w:hAnsi="Garamond"/>
          <w:sz w:val="24"/>
          <w:szCs w:val="24"/>
        </w:rPr>
      </w:pPr>
    </w:p>
    <w:p w14:paraId="1A860CC3" w14:textId="77777777" w:rsidR="00C221B4" w:rsidRPr="00AB6ECF" w:rsidRDefault="00C221B4" w:rsidP="00AB6ECF">
      <w:pPr>
        <w:ind w:firstLine="708"/>
        <w:jc w:val="both"/>
        <w:rPr>
          <w:rFonts w:ascii="Garamond" w:hAnsi="Garamond"/>
          <w:sz w:val="24"/>
          <w:szCs w:val="24"/>
        </w:rPr>
      </w:pPr>
    </w:p>
    <w:sectPr w:rsidR="00C221B4" w:rsidRPr="00AB6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CF"/>
    <w:rsid w:val="00100221"/>
    <w:rsid w:val="002735FD"/>
    <w:rsid w:val="004D0AB8"/>
    <w:rsid w:val="00510267"/>
    <w:rsid w:val="00576015"/>
    <w:rsid w:val="005E2127"/>
    <w:rsid w:val="006058B8"/>
    <w:rsid w:val="00634DC7"/>
    <w:rsid w:val="006467B7"/>
    <w:rsid w:val="006C11BA"/>
    <w:rsid w:val="007111DE"/>
    <w:rsid w:val="00771B78"/>
    <w:rsid w:val="009C023A"/>
    <w:rsid w:val="009D3319"/>
    <w:rsid w:val="00AB6ECF"/>
    <w:rsid w:val="00C221B4"/>
    <w:rsid w:val="00EA0D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89E4"/>
  <w15:chartTrackingRefBased/>
  <w15:docId w15:val="{ED9E8F81-9547-409C-B6F9-E94D3E8D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ECF"/>
    <w:pPr>
      <w:spacing w:line="256" w:lineRule="auto"/>
    </w:pPr>
    <w:rPr>
      <w:kern w:val="0"/>
      <w:sz w:val="22"/>
      <w:szCs w:val="22"/>
      <w:lang w:val="en-GB"/>
      <w14:ligatures w14:val="none"/>
    </w:rPr>
  </w:style>
  <w:style w:type="paragraph" w:styleId="Naslov1">
    <w:name w:val="heading 1"/>
    <w:basedOn w:val="Normal"/>
    <w:next w:val="Normal"/>
    <w:link w:val="Naslov1Char"/>
    <w:uiPriority w:val="9"/>
    <w:qFormat/>
    <w:rsid w:val="00AB6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B6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B6EC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B6EC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B6EC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B6EC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B6EC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B6EC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B6EC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B6EC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B6EC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B6EC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B6EC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B6EC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B6EC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B6EC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B6EC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B6ECF"/>
    <w:rPr>
      <w:rFonts w:eastAsiaTheme="majorEastAsia" w:cstheme="majorBidi"/>
      <w:color w:val="272727" w:themeColor="text1" w:themeTint="D8"/>
    </w:rPr>
  </w:style>
  <w:style w:type="paragraph" w:styleId="Naslov">
    <w:name w:val="Title"/>
    <w:basedOn w:val="Normal"/>
    <w:next w:val="Normal"/>
    <w:link w:val="NaslovChar"/>
    <w:uiPriority w:val="10"/>
    <w:qFormat/>
    <w:rsid w:val="00AB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B6EC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6EC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B6EC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6ECF"/>
    <w:pPr>
      <w:spacing w:before="160"/>
      <w:jc w:val="center"/>
    </w:pPr>
    <w:rPr>
      <w:i/>
      <w:iCs/>
      <w:color w:val="404040" w:themeColor="text1" w:themeTint="BF"/>
    </w:rPr>
  </w:style>
  <w:style w:type="character" w:customStyle="1" w:styleId="CitatChar">
    <w:name w:val="Citat Char"/>
    <w:basedOn w:val="Zadanifontodlomka"/>
    <w:link w:val="Citat"/>
    <w:uiPriority w:val="29"/>
    <w:rsid w:val="00AB6ECF"/>
    <w:rPr>
      <w:i/>
      <w:iCs/>
      <w:color w:val="404040" w:themeColor="text1" w:themeTint="BF"/>
    </w:rPr>
  </w:style>
  <w:style w:type="paragraph" w:styleId="Odlomakpopisa">
    <w:name w:val="List Paragraph"/>
    <w:basedOn w:val="Normal"/>
    <w:uiPriority w:val="34"/>
    <w:qFormat/>
    <w:rsid w:val="00AB6ECF"/>
    <w:pPr>
      <w:ind w:left="720"/>
      <w:contextualSpacing/>
    </w:pPr>
  </w:style>
  <w:style w:type="character" w:styleId="Jakoisticanje">
    <w:name w:val="Intense Emphasis"/>
    <w:basedOn w:val="Zadanifontodlomka"/>
    <w:uiPriority w:val="21"/>
    <w:qFormat/>
    <w:rsid w:val="00AB6ECF"/>
    <w:rPr>
      <w:i/>
      <w:iCs/>
      <w:color w:val="0F4761" w:themeColor="accent1" w:themeShade="BF"/>
    </w:rPr>
  </w:style>
  <w:style w:type="paragraph" w:styleId="Naglaencitat">
    <w:name w:val="Intense Quote"/>
    <w:basedOn w:val="Normal"/>
    <w:next w:val="Normal"/>
    <w:link w:val="NaglaencitatChar"/>
    <w:uiPriority w:val="30"/>
    <w:qFormat/>
    <w:rsid w:val="00AB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B6ECF"/>
    <w:rPr>
      <w:i/>
      <w:iCs/>
      <w:color w:val="0F4761" w:themeColor="accent1" w:themeShade="BF"/>
    </w:rPr>
  </w:style>
  <w:style w:type="character" w:styleId="Istaknutareferenca">
    <w:name w:val="Intense Reference"/>
    <w:basedOn w:val="Zadanifontodlomka"/>
    <w:uiPriority w:val="32"/>
    <w:qFormat/>
    <w:rsid w:val="00AB6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Antonela Karabaić</cp:lastModifiedBy>
  <cp:revision>4</cp:revision>
  <dcterms:created xsi:type="dcterms:W3CDTF">2026-03-17T12:39:00Z</dcterms:created>
  <dcterms:modified xsi:type="dcterms:W3CDTF">2026-03-18T10:09:00Z</dcterms:modified>
</cp:coreProperties>
</file>