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845BC4" w14:paraId="75CAF111" w14:textId="77777777" w:rsidTr="004E6414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5D9E6A17" w14:textId="77777777" w:rsidR="00845BC4" w:rsidRDefault="00845BC4" w:rsidP="004E6414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2158D04B" w14:textId="77777777" w:rsidR="00845BC4" w:rsidRDefault="00845BC4" w:rsidP="004E6414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673BA236" w14:textId="77777777" w:rsidR="00845BC4" w:rsidRDefault="00845BC4" w:rsidP="004E6414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845BC4" w14:paraId="0346CF75" w14:textId="77777777" w:rsidTr="004E6414">
        <w:trPr>
          <w:trHeight w:val="55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58F1842" w14:textId="77777777" w:rsidR="00845BC4" w:rsidRDefault="00845BC4" w:rsidP="004E6414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DA251D9" w14:textId="77777777" w:rsidR="00845BC4" w:rsidRDefault="00845BC4" w:rsidP="004E6414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72AE2AD" w14:textId="785342B3" w:rsidR="00845BC4" w:rsidRPr="00481F7B" w:rsidRDefault="00845BC4" w:rsidP="004E6414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>prijedlogu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gramStart"/>
            <w:r w:rsidRPr="00845BC4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845BC4">
              <w:rPr>
                <w:rFonts w:ascii="Garamond" w:hAnsi="Garamond"/>
                <w:kern w:val="2"/>
                <w14:ligatures w14:val="standardContextual"/>
              </w:rPr>
              <w:t xml:space="preserve">  o</w:t>
            </w:r>
            <w:proofErr w:type="gramEnd"/>
            <w:r w:rsidRPr="00845BC4">
              <w:rPr>
                <w:rFonts w:ascii="Garamond" w:hAnsi="Garamond"/>
                <w:kern w:val="2"/>
                <w14:ligatures w14:val="standardContextual"/>
              </w:rPr>
              <w:t xml:space="preserve"> grobljima na području Općine Punat</w:t>
            </w:r>
          </w:p>
        </w:tc>
      </w:tr>
      <w:tr w:rsidR="00845BC4" w14:paraId="40992768" w14:textId="77777777" w:rsidTr="004E6414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E916F5B" w14:textId="77777777" w:rsidR="00845BC4" w:rsidRDefault="00845BC4" w:rsidP="004E6414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C69C436" w14:textId="77777777" w:rsidR="00845BC4" w:rsidRDefault="00845BC4" w:rsidP="004E6414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845BC4" w14:paraId="278E59F7" w14:textId="77777777" w:rsidTr="004E6414">
        <w:trPr>
          <w:trHeight w:val="1282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E8987D0" w14:textId="77777777" w:rsidR="00845BC4" w:rsidRDefault="00845BC4" w:rsidP="004E6414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0D2C17E6" w14:textId="77777777" w:rsidR="00845BC4" w:rsidRDefault="00845BC4" w:rsidP="004E6414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F9D8428" w14:textId="77777777" w:rsidR="00845BC4" w:rsidRDefault="00845BC4" w:rsidP="004E6414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A508B9F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Dana 17. svibnja 2025. godine stupio je na snagu novi Zakon o grobljima. Sukladno zakonu predstavničko tijelo bilo je dužno u roku od  godinu dana od dana stupanja na snagu Zakona donijeti novu odluku o grobljima. Ovom Odlukom uređuju se:</w:t>
            </w:r>
          </w:p>
          <w:p w14:paraId="1F0903EB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 mjerila i kriteriji za dodjelu i ustupanje grobnih mjesta na korištenje,</w:t>
            </w:r>
          </w:p>
          <w:p w14:paraId="37E807D8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iskopavanje i premještaj posmrtnih ostataka,</w:t>
            </w:r>
          </w:p>
          <w:p w14:paraId="5B81A928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ukopi i privremeni ukopi,</w:t>
            </w:r>
          </w:p>
          <w:p w14:paraId="18434C82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način ukopa nepoznatih osoba,</w:t>
            </w:r>
          </w:p>
          <w:p w14:paraId="68DADD0F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produbljenje groba i premještanje posmrtnih ostataka u grobnici,</w:t>
            </w:r>
          </w:p>
          <w:p w14:paraId="2F5F6D61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održavanje groblja i uklanjanje otpada,</w:t>
            </w:r>
          </w:p>
          <w:p w14:paraId="7AF3EF69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veličina, dimenzije, materijal i izgled grobnih mjesta i spomen-obilježja,</w:t>
            </w:r>
          </w:p>
          <w:p w14:paraId="7B3492CA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uvjeti upravljanja grobljem od strane pravne osobe koja upravlja grobljem,</w:t>
            </w:r>
          </w:p>
          <w:p w14:paraId="2AF05522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uvjeti, način i mjesto prosipanja kremiranih posmrtnih ostataka umrle osobe,</w:t>
            </w:r>
          </w:p>
          <w:p w14:paraId="60FEB5AB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uvjeti i mjerila za plaćanje naknade pri dodjeli grobnog mjesta i godišnje grobne naknade, kao i mogućnost plaćanja godišnje grobne naknade unaprijed,</w:t>
            </w:r>
          </w:p>
          <w:p w14:paraId="268C436E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uvjeti za ustupanje prava korištenja grobnog mjesta trećim osobama,</w:t>
            </w:r>
          </w:p>
          <w:p w14:paraId="6E03926C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mogućnost da pojedini dijelovi groblja služe za ukope članova pojedinih vjerskih zajednica te mogućnost da se na tim dijelovima groblja ukop obavlja uz prethodnu suglasnost predstavnika tih vjerskih zajednica,</w:t>
            </w:r>
          </w:p>
          <w:p w14:paraId="1A1533AB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mogućnost da dio groblja ustupi drugoj jedinici lokalne samouprave ili da sklopi ugovor o zajedničkom korištenju groblja s drugom jedinicom lokalne samouprave,</w:t>
            </w:r>
          </w:p>
          <w:p w14:paraId="3A6BF978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mogućnost da se grobno mjesto dodijeli na korištenje bez obveze premještanja ostataka tijela umrlih osoba u zajedničku kosturnicu,</w:t>
            </w:r>
          </w:p>
          <w:p w14:paraId="5B4E3BF8" w14:textId="77777777" w:rsidR="00845BC4" w:rsidRPr="00845BC4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pravila za određivanje naknade za stjecanje opreme i uređaja koji se nalaze na grobnom mjestu bez korisnika grobnog mjesta,</w:t>
            </w:r>
          </w:p>
          <w:p w14:paraId="08E3D5D1" w14:textId="635F8EF4" w:rsidR="00845BC4" w:rsidRPr="000B2BCB" w:rsidRDefault="00845BC4" w:rsidP="00845BC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845BC4">
              <w:rPr>
                <w:rFonts w:ascii="Garamond" w:eastAsia="Times New Roman" w:hAnsi="Garamond"/>
                <w:color w:val="000000"/>
                <w:lang w:eastAsia="zh-CN"/>
              </w:rPr>
              <w:t>- prekršajne sankcije za prekršitelje odredbi.</w:t>
            </w:r>
          </w:p>
        </w:tc>
      </w:tr>
      <w:tr w:rsidR="00845BC4" w14:paraId="12DDB2B0" w14:textId="77777777" w:rsidTr="004E6414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B1E248F" w14:textId="77777777" w:rsidR="00845BC4" w:rsidRDefault="00845BC4" w:rsidP="004E6414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6E6D54E4" w14:textId="60C2A288" w:rsidR="00845BC4" w:rsidRDefault="00845BC4" w:rsidP="004E6414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845BC4"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>22. svibnja 2026. godine</w:t>
            </w:r>
          </w:p>
          <w:p w14:paraId="735EB1F3" w14:textId="77777777" w:rsidR="00845BC4" w:rsidRPr="00B920CB" w:rsidRDefault="00845BC4" w:rsidP="004E6414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</w:tc>
      </w:tr>
      <w:tr w:rsidR="00845BC4" w14:paraId="4C200FB4" w14:textId="77777777" w:rsidTr="004E6414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E1CC3B5" w14:textId="77777777" w:rsidR="00845BC4" w:rsidRDefault="00845BC4" w:rsidP="004E6414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108CD252" w14:textId="77777777" w:rsidR="00845BC4" w:rsidRDefault="00845BC4" w:rsidP="004E6414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56D45EC" w14:textId="1C7CCFA6" w:rsidR="00845BC4" w:rsidRPr="00481F7B" w:rsidRDefault="00845BC4" w:rsidP="004E6414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P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rijedlog </w:t>
            </w:r>
            <w:r w:rsidRPr="00845BC4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845BC4">
              <w:rPr>
                <w:rFonts w:ascii="Garamond" w:hAnsi="Garamond"/>
                <w:kern w:val="2"/>
                <w14:ligatures w14:val="standardContextual"/>
              </w:rPr>
              <w:t xml:space="preserve">  o grobljima na području Općine Punat</w:t>
            </w:r>
          </w:p>
        </w:tc>
      </w:tr>
      <w:tr w:rsidR="00845BC4" w14:paraId="7968B491" w14:textId="77777777" w:rsidTr="004E6414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507433D" w14:textId="77777777" w:rsidR="00845BC4" w:rsidRDefault="00845BC4" w:rsidP="004E6414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2AB1C48" w14:textId="77777777" w:rsidR="00845BC4" w:rsidRPr="00481F7B" w:rsidRDefault="00845BC4" w:rsidP="004E6414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</w:tc>
      </w:tr>
      <w:tr w:rsidR="00845BC4" w14:paraId="47403189" w14:textId="77777777" w:rsidTr="004E6414">
        <w:trPr>
          <w:trHeight w:val="38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0E42AA5" w14:textId="77777777" w:rsidR="00845BC4" w:rsidRDefault="00845BC4" w:rsidP="004E6414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C44D230" w14:textId="62AEB4AD" w:rsidR="00845BC4" w:rsidRDefault="00845BC4" w:rsidP="004E6414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proofErr w:type="spellStart"/>
            <w:proofErr w:type="gramStart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Odluka</w:t>
            </w:r>
            <w:proofErr w:type="spellEnd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 o</w:t>
            </w:r>
            <w:proofErr w:type="gramEnd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grobljima</w:t>
            </w:r>
            <w:proofErr w:type="spellEnd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na</w:t>
            </w:r>
            <w:proofErr w:type="spellEnd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području</w:t>
            </w:r>
            <w:proofErr w:type="spellEnd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Općine</w:t>
            </w:r>
            <w:proofErr w:type="spellEnd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845BC4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845BC4" w14:paraId="7561ED44" w14:textId="77777777" w:rsidTr="004E6414">
        <w:trPr>
          <w:trHeight w:val="96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4B93428" w14:textId="77777777" w:rsidR="00845BC4" w:rsidRDefault="00845BC4" w:rsidP="004E6414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0129EC6" w14:textId="564D17EB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1.</w:t>
            </w:r>
          </w:p>
        </w:tc>
      </w:tr>
      <w:tr w:rsidR="00845BC4" w14:paraId="72A3C23E" w14:textId="77777777" w:rsidTr="004E6414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8D833A7" w14:textId="77777777" w:rsidR="00845BC4" w:rsidRDefault="00845BC4" w:rsidP="004E6414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 xml:space="preserve"> 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9426184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845BC4" w14:paraId="7E86C1BA" w14:textId="77777777" w:rsidTr="004E6414">
        <w:trPr>
          <w:trHeight w:val="729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F5FB4B2" w14:textId="77777777" w:rsidR="00845BC4" w:rsidRDefault="00845BC4" w:rsidP="004E6414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lastRenderedPageBreak/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5A3C0FE" w14:textId="77777777" w:rsidR="00845BC4" w:rsidRDefault="00845BC4" w:rsidP="004E6414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562FB02E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845BC4" w14:paraId="3919CFA7" w14:textId="77777777" w:rsidTr="004E6414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2C307CA" w14:textId="77777777" w:rsidR="00845BC4" w:rsidRDefault="00845BC4" w:rsidP="004E6414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5F0E96BD" w14:textId="77777777" w:rsidR="00845BC4" w:rsidRDefault="00845BC4" w:rsidP="004E6414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4DB9C001" w14:textId="77777777" w:rsidR="00845BC4" w:rsidRDefault="00845BC4" w:rsidP="004E6414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6A07BD0E" w14:textId="77777777" w:rsidR="00845BC4" w:rsidRDefault="00845BC4" w:rsidP="004E6414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proofErr w:type="gram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5ECA1FE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20F7A4C" w14:textId="77777777" w:rsidR="00845BC4" w:rsidRDefault="00845BC4" w:rsidP="004E6414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6D37419" w14:textId="77777777" w:rsidR="00845BC4" w:rsidRDefault="00845BC4" w:rsidP="004E6414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yperlink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845BC4" w14:paraId="293841D8" w14:textId="77777777" w:rsidTr="004E6414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2E401B13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C5B86D6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0E509EE8" w14:textId="77777777" w:rsidR="00845BC4" w:rsidRDefault="00845BC4" w:rsidP="004E6414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45ECD1C5" w14:textId="77777777" w:rsidR="00845BC4" w:rsidRDefault="00845BC4" w:rsidP="004E6414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4" w:history="1">
              <w:r>
                <w:rPr>
                  <w:rStyle w:val="Hyperlink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845BC4" w14:paraId="54F4377A" w14:textId="77777777" w:rsidTr="004E6414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6E42B5AF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040FFF3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8A7CD0B" w14:textId="77777777" w:rsidR="00845BC4" w:rsidRDefault="00845BC4" w:rsidP="004E6414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871E893" w14:textId="51D551AA" w:rsidR="00845BC4" w:rsidRDefault="00845BC4" w:rsidP="004E6414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22.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svibnja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22</w:t>
            </w: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lipnja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2026.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845BC4" w14:paraId="17E80057" w14:textId="77777777" w:rsidTr="004E6414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380128A0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F804BC8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845BC4" w14:paraId="6D5408E1" w14:textId="77777777" w:rsidTr="004E6414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A61C46D" w14:textId="77777777" w:rsidR="00845BC4" w:rsidRDefault="00845BC4" w:rsidP="004E6414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3B953A0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07CA0CA7" w14:textId="77777777" w:rsidR="00845BC4" w:rsidRDefault="00845BC4" w:rsidP="004E6414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845BC4" w14:paraId="3B35AF06" w14:textId="77777777" w:rsidTr="004E6414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BE59201" w14:textId="77777777" w:rsidR="00845BC4" w:rsidRDefault="00845BC4" w:rsidP="004E6414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11F0A5A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5EDCFE4D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F14C77B" w14:textId="77777777" w:rsidR="00845BC4" w:rsidRDefault="00845BC4" w:rsidP="004E6414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845BC4" w14:paraId="7352C7A1" w14:textId="77777777" w:rsidTr="004E6414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5883DE4" w14:textId="77777777" w:rsidR="00845BC4" w:rsidRDefault="00845BC4" w:rsidP="004E6414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6BB1CF6" w14:textId="77777777" w:rsidR="00845BC4" w:rsidRDefault="00845BC4" w:rsidP="004E6414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49C16984" w14:textId="77777777" w:rsidR="00845BC4" w:rsidRDefault="00845BC4" w:rsidP="00845BC4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1BF9DAE0" w14:textId="77777777" w:rsidR="00845BC4" w:rsidRDefault="00845BC4" w:rsidP="00845BC4">
      <w:pPr>
        <w:rPr>
          <w:rFonts w:ascii="Garamond" w:eastAsia="Calibri" w:hAnsi="Garamond" w:cs="Calibri"/>
        </w:rPr>
      </w:pPr>
    </w:p>
    <w:p w14:paraId="5B4E88C2" w14:textId="77777777" w:rsidR="00845BC4" w:rsidRDefault="00845BC4" w:rsidP="00845BC4">
      <w:pPr>
        <w:rPr>
          <w:rFonts w:ascii="Garamond" w:hAnsi="Garamond"/>
        </w:rPr>
      </w:pPr>
    </w:p>
    <w:p w14:paraId="6EE15BF5" w14:textId="77777777" w:rsidR="00845BC4" w:rsidRDefault="00845BC4" w:rsidP="00845BC4"/>
    <w:p w14:paraId="5691ABE8" w14:textId="77777777" w:rsidR="00845BC4" w:rsidRDefault="00845BC4" w:rsidP="00845BC4">
      <w:pPr>
        <w:spacing w:after="0"/>
      </w:pPr>
    </w:p>
    <w:p w14:paraId="2D7CBE52" w14:textId="77777777" w:rsidR="00845BC4" w:rsidRDefault="00845BC4" w:rsidP="00845BC4"/>
    <w:p w14:paraId="259E1DDE" w14:textId="77777777" w:rsidR="00845BC4" w:rsidRDefault="00845BC4" w:rsidP="00845BC4"/>
    <w:p w14:paraId="3DEC8B77" w14:textId="77777777" w:rsidR="00845BC4" w:rsidRDefault="00845BC4" w:rsidP="00845BC4"/>
    <w:p w14:paraId="36AF2873" w14:textId="77777777" w:rsidR="00845BC4" w:rsidRDefault="00845BC4" w:rsidP="00845BC4"/>
    <w:p w14:paraId="78AFA3E8" w14:textId="77777777" w:rsidR="00845BC4" w:rsidRDefault="00845BC4" w:rsidP="00845BC4"/>
    <w:p w14:paraId="052FFD36" w14:textId="77777777" w:rsidR="00845BC4" w:rsidRDefault="00845BC4" w:rsidP="00845BC4"/>
    <w:p w14:paraId="1D11B2E6" w14:textId="77777777" w:rsidR="00845BC4" w:rsidRDefault="00845BC4" w:rsidP="00845BC4"/>
    <w:p w14:paraId="2C2CC7DA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C4"/>
    <w:rsid w:val="003B3389"/>
    <w:rsid w:val="003C3C68"/>
    <w:rsid w:val="00845BC4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5825"/>
  <w15:chartTrackingRefBased/>
  <w15:docId w15:val="{79950D97-289B-4700-968E-6D1793FF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C4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B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5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45B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2026-06-24T11:32:00Z</dcterms:created>
  <dcterms:modified xsi:type="dcterms:W3CDTF">2026-06-24T11:41:00Z</dcterms:modified>
</cp:coreProperties>
</file>