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F42F" w14:textId="0502AE78" w:rsidR="00E06C38" w:rsidRDefault="00E06C38" w:rsidP="00E06C38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1F37E453" wp14:editId="7BD7130C">
            <wp:extent cx="609600" cy="800100"/>
            <wp:effectExtent l="0" t="0" r="0" b="0"/>
            <wp:docPr id="27263682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E06C38" w14:paraId="73178D2A" w14:textId="77777777">
        <w:trPr>
          <w:cantSplit/>
        </w:trPr>
        <w:tc>
          <w:tcPr>
            <w:tcW w:w="3969" w:type="dxa"/>
            <w:hideMark/>
          </w:tcPr>
          <w:p w14:paraId="102A731D" w14:textId="77777777" w:rsidR="00E06C38" w:rsidRDefault="00E06C38" w:rsidP="00E06C38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  <w:t>R E P U B L I K A   H R V A T S K A</w:t>
            </w:r>
          </w:p>
          <w:p w14:paraId="478ED050" w14:textId="77777777" w:rsidR="00E06C38" w:rsidRDefault="00E06C38" w:rsidP="00E06C38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PRIMORSKO – GORANSKA ŽUPANIJA</w:t>
            </w:r>
          </w:p>
          <w:p w14:paraId="4CDA706B" w14:textId="77777777" w:rsidR="00E06C38" w:rsidRDefault="00E06C38" w:rsidP="00E06C38">
            <w:pPr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OPĆINA PUNAT</w:t>
            </w:r>
          </w:p>
        </w:tc>
      </w:tr>
      <w:tr w:rsidR="00E06C38" w14:paraId="00341A28" w14:textId="77777777">
        <w:trPr>
          <w:cantSplit/>
        </w:trPr>
        <w:tc>
          <w:tcPr>
            <w:tcW w:w="3969" w:type="dxa"/>
          </w:tcPr>
          <w:p w14:paraId="698F6B5B" w14:textId="77777777" w:rsidR="00E06C38" w:rsidRDefault="00E06C38" w:rsidP="00E06C38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OPĆINSKI NAČELNIK</w:t>
            </w:r>
          </w:p>
          <w:p w14:paraId="3E167FDD" w14:textId="77777777" w:rsidR="00E06C38" w:rsidRDefault="00E06C38" w:rsidP="00E06C38">
            <w:pPr>
              <w:rPr>
                <w:rFonts w:ascii="Garamond" w:hAnsi="Garamond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9DC0DFA" w14:textId="77777777" w:rsidR="00E06C38" w:rsidRDefault="00E06C38" w:rsidP="00E06C38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940-01/20-01/4</w:t>
      </w:r>
    </w:p>
    <w:p w14:paraId="3A11186C" w14:textId="6A0E0771" w:rsidR="00E06C38" w:rsidRDefault="00E06C38" w:rsidP="00E06C38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2170-31-02/1-26-10</w:t>
      </w:r>
    </w:p>
    <w:p w14:paraId="3CE2BEFA" w14:textId="72CE7E9F" w:rsidR="00E06C38" w:rsidRDefault="00E06C38" w:rsidP="00E06C38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14. srpnja 2026. godine   </w:t>
      </w:r>
    </w:p>
    <w:p w14:paraId="61C54B32" w14:textId="77777777" w:rsidR="00E06C38" w:rsidRDefault="00E06C38" w:rsidP="00E06C38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8E296DA" w14:textId="1B7B82C6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6" w:tooltip="Zakon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i Zakona o izmjenama i dopunama Zakona o lokalnoj i područjoj (regionalnoj) samoupravi (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ama i dopunama Zakona o lokalnoj i područnoj (regionalnoj) samo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5" w:tooltip="Zakon o izmjenama i dopunama Zakona o lokalnoj i područnoj (regionalnoj) samoupravi" w:history="1">
        <w:r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>
        <w:rPr>
          <w:rFonts w:ascii="Garamond" w:hAnsi="Garamond"/>
          <w:sz w:val="24"/>
          <w:szCs w:val="24"/>
          <w:shd w:val="clear" w:color="auto" w:fill="FFFFFF"/>
        </w:rPr>
        <w:t>, 98/19 i 144/20</w:t>
      </w:r>
      <w:r>
        <w:rPr>
          <w:rFonts w:ascii="Garamond" w:hAnsi="Garamond"/>
          <w:sz w:val="24"/>
          <w:szCs w:val="24"/>
        </w:rPr>
        <w:t>),</w:t>
      </w:r>
      <w:r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>
        <w:rPr>
          <w:rFonts w:ascii="Garamond" w:hAnsi="Garamond"/>
          <w:sz w:val="24"/>
          <w:szCs w:val="24"/>
        </w:rPr>
        <w:t xml:space="preserve">članka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Odluke o raspolaganj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u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nekretninama u vlasništvu Općine Punat ("Službene novine Primorsko – goranske županije", broj 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18/26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) i Zaključka 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O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pćinskog 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vijeća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KLASA: 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024-05/26-01/3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 URBROJ: 2170-31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-01-26-16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 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općinski načelnik raspisuje </w:t>
      </w:r>
    </w:p>
    <w:p w14:paraId="57C2134B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B6B05E1" w14:textId="77777777" w:rsidR="00E06C38" w:rsidRDefault="00E06C38" w:rsidP="00E06C38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63CD5636" w14:textId="77777777" w:rsidR="00E06C38" w:rsidRDefault="00E06C38" w:rsidP="00E06C38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nekretnine u vlasništvu Općine Punat</w:t>
      </w:r>
      <w:bookmarkEnd w:id="0"/>
    </w:p>
    <w:p w14:paraId="57714EC6" w14:textId="77777777" w:rsidR="00E06C38" w:rsidRDefault="00E06C38" w:rsidP="00E06C38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30E7F71E" w14:textId="77777777" w:rsidR="00E06C38" w:rsidRDefault="00E06C38" w:rsidP="00E06C38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4E001709" w14:textId="77777777" w:rsidR="00E06C38" w:rsidRDefault="00E06C38" w:rsidP="00E06C38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748085A4" w14:textId="77777777" w:rsidR="00E06C38" w:rsidRDefault="00E06C38" w:rsidP="00E06C38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nekretnine u vlasništvu Općine Punat:</w:t>
      </w:r>
    </w:p>
    <w:p w14:paraId="0193C876" w14:textId="77777777" w:rsidR="00E06C38" w:rsidRDefault="00E06C38" w:rsidP="00E06C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122/18805 dijela z.č. 746/3, zaprno, pašnjak površine 18805 m², upisana u zk.ul. 4520 k.o. Stara Baška</w:t>
      </w:r>
    </w:p>
    <w:p w14:paraId="1D7E0F4A" w14:textId="77777777" w:rsidR="00E06C38" w:rsidRDefault="00E06C38" w:rsidP="00E06C38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081D5B1C" w14:textId="77777777" w:rsidR="00E06C38" w:rsidRDefault="00E06C38" w:rsidP="00E06C38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195,00 eura/m².</w:t>
      </w:r>
    </w:p>
    <w:p w14:paraId="693CFC40" w14:textId="77777777" w:rsidR="00E06C38" w:rsidRDefault="00E06C38" w:rsidP="00E06C38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Sukladno Urbanističkom planu uređenja naselja - UPU 9 građevinsko područje naselja N2 – Stara Baška sa pripadajućim građevinskim područjem sportsko-rekreacijske namjene R7a („Službene novine Primorsko-goranske županije“, broj 21/16) nekretnina je smještena u području oznake M – mješovita namjena.</w:t>
      </w:r>
    </w:p>
    <w:p w14:paraId="63A618D9" w14:textId="77777777" w:rsidR="00E06C38" w:rsidRDefault="00E06C38" w:rsidP="00E06C38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76142D12" w14:textId="77777777" w:rsidR="00E06C38" w:rsidRDefault="00E06C38" w:rsidP="00E06C38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7F120F7C" w14:textId="77777777" w:rsidR="00E06C38" w:rsidRDefault="00E06C38" w:rsidP="00E06C38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72E9034D" w14:textId="77777777" w:rsidR="00E06C38" w:rsidRDefault="00E06C38" w:rsidP="00E06C38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70309988" w14:textId="77777777" w:rsidR="00E06C38" w:rsidRDefault="00E06C38" w:rsidP="00E06C38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137EDA4A" w14:textId="77777777" w:rsidR="00E06C38" w:rsidRDefault="00E06C38" w:rsidP="00E06C38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0489014F" w14:textId="77777777" w:rsidR="00E06C38" w:rsidRDefault="00E06C38" w:rsidP="00E06C38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1703DE90" w14:textId="77777777" w:rsidR="00E06C38" w:rsidRDefault="00E06C38" w:rsidP="00E06C38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0A7DE9E5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1B82B6C8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00AAE02A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36666601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163F76E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4317E557" w14:textId="1E96E6CE" w:rsidR="00E06C38" w:rsidRDefault="00E06C38" w:rsidP="00E06C38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", a koji mora biti vidljiv do 2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13,00 sati.</w:t>
      </w:r>
    </w:p>
    <w:p w14:paraId="06C62528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7A8C2E3E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6ED701FF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49748F0B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17A07922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253C28E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625B73B6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6972FAD0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7B0CEB67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9AFD98F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2A3A28A1" w14:textId="77777777" w:rsidR="00E06C38" w:rsidRDefault="00E06C38" w:rsidP="00E06C38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14356EA0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60E1A433" w14:textId="77777777" w:rsidR="00E06C38" w:rsidRDefault="00E06C38" w:rsidP="00E06C38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4B651B95" w14:textId="77777777" w:rsidR="00E06C38" w:rsidRDefault="00E06C38" w:rsidP="00E06C38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00E001EB" w14:textId="77777777" w:rsidR="00E06C38" w:rsidRDefault="00E06C38" w:rsidP="00E06C38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2CB63F3B" w14:textId="77777777" w:rsidR="00E06C38" w:rsidRDefault="00E06C38" w:rsidP="00E06C38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A49060" w14:textId="0ACBC134" w:rsidR="00E06C38" w:rsidRDefault="00E06C38" w:rsidP="00E06C38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1</w:t>
      </w:r>
      <w:r w:rsidR="00092C10">
        <w:rPr>
          <w:rFonts w:ascii="Garamond" w:eastAsia="Times New Roman" w:hAnsi="Garamond" w:cs="Times New Roman"/>
          <w:i/>
          <w:sz w:val="24"/>
          <w:szCs w:val="24"/>
          <w:lang w:eastAsia="hr-HR"/>
        </w:rPr>
        <w:t>6.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s</w:t>
      </w:r>
      <w:r w:rsidR="00092C10">
        <w:rPr>
          <w:rFonts w:ascii="Garamond" w:eastAsia="Times New Roman" w:hAnsi="Garamond" w:cs="Times New Roman"/>
          <w:i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2026. godine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Ponude koje pristignu nakon 13,00 sati dana 2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bez obzira na način dostave smatraju se zakašnjelima.</w:t>
      </w:r>
    </w:p>
    <w:p w14:paraId="5243A554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82A5FA3" w14:textId="142B0FCF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 izbor ponuda obavit će se 2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s</w:t>
      </w:r>
      <w:r w:rsidR="00092C10">
        <w:rPr>
          <w:rFonts w:ascii="Garamond" w:eastAsia="Times New Roman" w:hAnsi="Garamond" w:cs="Times New Roman"/>
          <w:sz w:val="24"/>
          <w:szCs w:val="24"/>
          <w:lang w:eastAsia="hr-HR"/>
        </w:rPr>
        <w:t>rpnja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13:00 sati u prostorijama Općine Punat. Nepotpune ponude i ponude podnesene izvan utvrđenog roka neće se razmatrati.</w:t>
      </w:r>
    </w:p>
    <w:p w14:paraId="5CA394B4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513605B7" w14:textId="77777777" w:rsidR="00E06C38" w:rsidRDefault="00E06C38" w:rsidP="00E06C38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CD90ADC" w14:textId="1CADD7BD" w:rsidR="00092C10" w:rsidRDefault="00E06C38" w:rsidP="005014E4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</w:t>
      </w:r>
      <w:r w:rsidR="005014E4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OPĆINSKI NAČELNIK</w:t>
      </w:r>
    </w:p>
    <w:p w14:paraId="51C0E767" w14:textId="0C7B8B73" w:rsidR="00E06C38" w:rsidRDefault="00E06C38" w:rsidP="00E06C38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="00092C10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>Daniel Strčić, bacc.inf.</w:t>
      </w:r>
      <w:r w:rsidR="005014E4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2C0682B4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506B5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371087">
    <w:abstractNumId w:val="0"/>
  </w:num>
  <w:num w:numId="2" w16cid:durableId="3990648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38"/>
    <w:rsid w:val="0007775E"/>
    <w:rsid w:val="00092C10"/>
    <w:rsid w:val="00385670"/>
    <w:rsid w:val="005014E4"/>
    <w:rsid w:val="006F777A"/>
    <w:rsid w:val="0077732D"/>
    <w:rsid w:val="00E0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7611"/>
  <w15:chartTrackingRefBased/>
  <w15:docId w15:val="{49C2BB1F-868F-4D57-BDA7-A9F1D180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38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6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6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6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6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6C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6C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6C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6C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6C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6C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6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6C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6C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6C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6C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6C3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06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5B129A2385&amp;Ver=NN2005B129A2385" TargetMode="External"/><Relationship Id="rId13" Type="http://schemas.openxmlformats.org/officeDocument/2006/relationships/hyperlink" Target="http://www.iusinfo.hr/Publication/Content.aspx?Sopi=NN2011B150A3089&amp;Ver=NN2011B150A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1B60A974&amp;Ver=NN2001B60A974" TargetMode="External"/><Relationship Id="rId12" Type="http://schemas.openxmlformats.org/officeDocument/2006/relationships/hyperlink" Target="http://www.iusinfo.hr/Publication/Content.aspx?Sopi=NN2009B36A793&amp;Ver=NN2009B36A7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1B33A569&amp;Ver=NN2001B33A569" TargetMode="External"/><Relationship Id="rId11" Type="http://schemas.openxmlformats.org/officeDocument/2006/relationships/hyperlink" Target="http://www.iusinfo.hr/Publication/Content.aspx?Sopi=NN2008B125A3563&amp;Ver=NN2008B125A35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hyperlink" Target="http://www.iusinfo.hr/Publication/Content.aspx?Sopi=NN2009B36A792&amp;Ver=NN2009B36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2007B109A3179&amp;Ver=NN2007B109A3179" TargetMode="External"/><Relationship Id="rId14" Type="http://schemas.openxmlformats.org/officeDocument/2006/relationships/hyperlink" Target="http://www.iusinfo.hr/Publication/Content.aspx?Sopi=NN2012B144A3075&amp;Ver=NN2012B144A30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2026-07-13T09:25:00Z</cp:lastPrinted>
  <dcterms:created xsi:type="dcterms:W3CDTF">2026-07-13T08:41:00Z</dcterms:created>
  <dcterms:modified xsi:type="dcterms:W3CDTF">2026-07-13T09:25:00Z</dcterms:modified>
</cp:coreProperties>
</file>