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2" w:type="dxa"/>
        <w:tblLook w:val="04A0" w:firstRow="1" w:lastRow="0" w:firstColumn="1" w:lastColumn="0" w:noHBand="0" w:noVBand="1"/>
      </w:tblPr>
      <w:tblGrid>
        <w:gridCol w:w="3652"/>
        <w:gridCol w:w="5970"/>
      </w:tblGrid>
      <w:tr w:rsidR="00A97881" w14:paraId="235FEC88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5A9864CD" w14:textId="5F2C8F6D" w:rsidR="00A97881" w:rsidRPr="006726A5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OBRAZAC SADRŽAJA DOKUMENTA ZA SAVJETOVANJE</w:t>
            </w:r>
          </w:p>
        </w:tc>
      </w:tr>
      <w:tr w:rsidR="00AA44B0" w14:paraId="0FADC69D" w14:textId="77777777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01F200" w14:textId="77777777" w:rsidR="00AA44B0" w:rsidRPr="006726A5" w:rsidRDefault="00AA44B0" w:rsidP="006726A5">
            <w:pPr>
              <w:rPr>
                <w:rFonts w:ascii="Garamond" w:hAnsi="Garamond"/>
                <w:b/>
              </w:rPr>
            </w:pPr>
          </w:p>
        </w:tc>
      </w:tr>
      <w:tr w:rsidR="00F8062B" w14:paraId="5DCE9E4D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8A93BFF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Naslov dokumenta</w:t>
            </w:r>
          </w:p>
        </w:tc>
        <w:tc>
          <w:tcPr>
            <w:tcW w:w="5970" w:type="dxa"/>
            <w:shd w:val="clear" w:color="auto" w:fill="FFFFFF" w:themeFill="background1"/>
          </w:tcPr>
          <w:p w14:paraId="2F6F59A3" w14:textId="6A1C5048" w:rsidR="00A97881" w:rsidRPr="006726A5" w:rsidRDefault="006726A5" w:rsidP="005F490C">
            <w:pPr>
              <w:rPr>
                <w:rFonts w:ascii="Garamond" w:hAnsi="Garamond"/>
              </w:rPr>
            </w:pPr>
            <w:r w:rsidRPr="006726A5">
              <w:rPr>
                <w:rFonts w:ascii="Garamond" w:hAnsi="Garamond"/>
                <w:lang w:val="hr"/>
              </w:rPr>
              <w:t>Odluka o području i granicama mjesnog odbora te izboru članova vijeća mjesnog odbora na području Općine Punat</w:t>
            </w:r>
          </w:p>
        </w:tc>
      </w:tr>
      <w:tr w:rsidR="00F8062B" w14:paraId="3F9C9DF5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5A9BD2E0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Stvaratelj dokumenta, tijelo koje provodi savjetovanje</w:t>
            </w:r>
          </w:p>
        </w:tc>
        <w:tc>
          <w:tcPr>
            <w:tcW w:w="5970" w:type="dxa"/>
            <w:shd w:val="clear" w:color="auto" w:fill="FFFFFF" w:themeFill="background1"/>
          </w:tcPr>
          <w:p w14:paraId="26F5D296" w14:textId="6FA37696" w:rsidR="00A97881" w:rsidRPr="006726A5" w:rsidRDefault="00817BC4" w:rsidP="00A97881">
            <w:pPr>
              <w:rPr>
                <w:rFonts w:ascii="Garamond" w:hAnsi="Garamond"/>
              </w:rPr>
            </w:pPr>
            <w:r w:rsidRPr="006726A5">
              <w:rPr>
                <w:rFonts w:ascii="Garamond" w:hAnsi="Garamond"/>
                <w:lang w:val="hr"/>
              </w:rPr>
              <w:t>Jedinstveni upravni odjel Općine Punat</w:t>
            </w:r>
          </w:p>
        </w:tc>
      </w:tr>
      <w:tr w:rsidR="00F8062B" w14:paraId="0E67A72B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76649532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Svrha dokumenta</w:t>
            </w:r>
          </w:p>
        </w:tc>
        <w:tc>
          <w:tcPr>
            <w:tcW w:w="5970" w:type="dxa"/>
            <w:shd w:val="clear" w:color="auto" w:fill="FFFFFF" w:themeFill="background1"/>
          </w:tcPr>
          <w:p w14:paraId="5EA9D174" w14:textId="24D2A75B" w:rsidR="006726A5" w:rsidRPr="006726A5" w:rsidRDefault="006726A5" w:rsidP="006726A5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Ovom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Odluk</w:t>
            </w:r>
            <w:r>
              <w:rPr>
                <w:rFonts w:ascii="Garamond" w:hAnsi="Garamond"/>
                <w:szCs w:val="22"/>
              </w:rPr>
              <w:t>om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propisuje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r>
              <w:rPr>
                <w:rFonts w:ascii="Garamond" w:hAnsi="Garamond"/>
                <w:szCs w:val="22"/>
              </w:rPr>
              <w:t xml:space="preserve">se </w:t>
            </w:r>
            <w:proofErr w:type="spellStart"/>
            <w:r w:rsidRPr="006726A5">
              <w:rPr>
                <w:rFonts w:ascii="Garamond" w:hAnsi="Garamond"/>
                <w:szCs w:val="22"/>
              </w:rPr>
              <w:t>područje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6726A5">
              <w:rPr>
                <w:rFonts w:ascii="Garamond" w:hAnsi="Garamond"/>
                <w:szCs w:val="22"/>
              </w:rPr>
              <w:t>granice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i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sjedište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mjesnog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odbora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te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izbor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članova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vijeća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mjesnog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odbora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6726A5">
              <w:rPr>
                <w:rFonts w:ascii="Garamond" w:hAnsi="Garamond"/>
                <w:szCs w:val="22"/>
              </w:rPr>
              <w:t>tijela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6726A5">
              <w:rPr>
                <w:rFonts w:ascii="Garamond" w:hAnsi="Garamond"/>
                <w:szCs w:val="22"/>
              </w:rPr>
              <w:t>provedbu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izbora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6726A5">
              <w:rPr>
                <w:rFonts w:ascii="Garamond" w:hAnsi="Garamond"/>
                <w:szCs w:val="22"/>
              </w:rPr>
              <w:t>provođenje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izbora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6726A5">
              <w:rPr>
                <w:rFonts w:ascii="Garamond" w:hAnsi="Garamond"/>
                <w:szCs w:val="22"/>
              </w:rPr>
              <w:t>glasovanje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i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utvrđivanje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rezultata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glasovanja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6726A5">
              <w:rPr>
                <w:rFonts w:ascii="Garamond" w:hAnsi="Garamond"/>
                <w:szCs w:val="22"/>
              </w:rPr>
              <w:t>troškovi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6726A5">
              <w:rPr>
                <w:rFonts w:ascii="Garamond" w:hAnsi="Garamond"/>
                <w:szCs w:val="22"/>
              </w:rPr>
              <w:t>provođenje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izbora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6726A5">
              <w:rPr>
                <w:rFonts w:ascii="Garamond" w:hAnsi="Garamond"/>
                <w:szCs w:val="22"/>
              </w:rPr>
              <w:t>zaštita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izbornog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prava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i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konstituiranje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  <w:szCs w:val="22"/>
              </w:rPr>
              <w:t>vijeća</w:t>
            </w:r>
            <w:proofErr w:type="spellEnd"/>
            <w:r w:rsidRPr="006726A5">
              <w:rPr>
                <w:rFonts w:ascii="Garamond" w:hAnsi="Garamond"/>
                <w:szCs w:val="22"/>
              </w:rPr>
              <w:t xml:space="preserve">. </w:t>
            </w:r>
          </w:p>
          <w:p w14:paraId="33D53AD0" w14:textId="77777777" w:rsidR="006726A5" w:rsidRPr="006726A5" w:rsidRDefault="006726A5" w:rsidP="006726A5">
            <w:pPr>
              <w:pStyle w:val="StandardWeb"/>
              <w:spacing w:before="0" w:beforeAutospacing="0" w:after="0" w:afterAutospacing="0"/>
              <w:jc w:val="both"/>
              <w:rPr>
                <w:rFonts w:ascii="Garamond" w:hAnsi="Garamond"/>
                <w:sz w:val="22"/>
                <w:szCs w:val="22"/>
              </w:rPr>
            </w:pPr>
            <w:r w:rsidRPr="006726A5">
              <w:rPr>
                <w:rFonts w:ascii="Garamond" w:hAnsi="Garamond"/>
                <w:sz w:val="22"/>
                <w:szCs w:val="22"/>
              </w:rPr>
              <w:t>Na pitanja izbora članova vijeća mjesnog odbora koja nisu uređena ovom Odlukom odgovarajuće se primjenjuju odredbe Zakona o lokalnim izborima.</w:t>
            </w:r>
          </w:p>
          <w:p w14:paraId="5EE1903F" w14:textId="77777777" w:rsidR="0053754A" w:rsidRPr="006726A5" w:rsidRDefault="0053754A" w:rsidP="006726A5">
            <w:pPr>
              <w:tabs>
                <w:tab w:val="left" w:pos="709"/>
              </w:tabs>
              <w:jc w:val="both"/>
              <w:rPr>
                <w:rFonts w:ascii="Garamond" w:hAnsi="Garamond"/>
                <w:szCs w:val="22"/>
              </w:rPr>
            </w:pPr>
          </w:p>
        </w:tc>
      </w:tr>
      <w:tr w:rsidR="00F8062B" w14:paraId="71DE92E4" w14:textId="77777777" w:rsidTr="006726A5">
        <w:trPr>
          <w:trHeight w:val="265"/>
        </w:trPr>
        <w:tc>
          <w:tcPr>
            <w:tcW w:w="3652" w:type="dxa"/>
            <w:shd w:val="clear" w:color="auto" w:fill="C6D9F1" w:themeFill="text2" w:themeFillTint="33"/>
          </w:tcPr>
          <w:p w14:paraId="3984CDC6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Datum dokumenta</w:t>
            </w:r>
          </w:p>
        </w:tc>
        <w:tc>
          <w:tcPr>
            <w:tcW w:w="5970" w:type="dxa"/>
            <w:shd w:val="clear" w:color="auto" w:fill="FFFFFF" w:themeFill="background1"/>
          </w:tcPr>
          <w:p w14:paraId="36D704C4" w14:textId="08D9343F" w:rsidR="00A97881" w:rsidRPr="006726A5" w:rsidRDefault="006726A5" w:rsidP="004C3D0B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hr"/>
              </w:rPr>
              <w:t>20</w:t>
            </w:r>
            <w:r w:rsidR="00A97881" w:rsidRPr="006726A5">
              <w:rPr>
                <w:rFonts w:ascii="Garamond" w:hAnsi="Garamond"/>
                <w:lang w:val="hr"/>
              </w:rPr>
              <w:t xml:space="preserve">. </w:t>
            </w:r>
            <w:r w:rsidR="00555003" w:rsidRPr="006726A5">
              <w:rPr>
                <w:rFonts w:ascii="Garamond" w:hAnsi="Garamond"/>
                <w:lang w:val="hr"/>
              </w:rPr>
              <w:t xml:space="preserve"> </w:t>
            </w:r>
            <w:r>
              <w:rPr>
                <w:rFonts w:ascii="Garamond" w:hAnsi="Garamond"/>
                <w:lang w:val="hr"/>
              </w:rPr>
              <w:t>rujna</w:t>
            </w:r>
            <w:r w:rsidR="00A97881" w:rsidRPr="006726A5">
              <w:rPr>
                <w:rFonts w:ascii="Garamond" w:hAnsi="Garamond"/>
                <w:lang w:val="hr"/>
              </w:rPr>
              <w:t xml:space="preserve"> 202</w:t>
            </w:r>
            <w:r w:rsidR="0053754A" w:rsidRPr="006726A5">
              <w:rPr>
                <w:rFonts w:ascii="Garamond" w:hAnsi="Garamond"/>
                <w:lang w:val="hr"/>
              </w:rPr>
              <w:t>2</w:t>
            </w:r>
            <w:r w:rsidR="00A97881" w:rsidRPr="006726A5">
              <w:rPr>
                <w:rFonts w:ascii="Garamond" w:hAnsi="Garamond"/>
                <w:lang w:val="hr"/>
              </w:rPr>
              <w:t>. godine</w:t>
            </w:r>
          </w:p>
        </w:tc>
      </w:tr>
      <w:tr w:rsidR="00F8062B" w14:paraId="135A8FEA" w14:textId="77777777" w:rsidTr="006726A5">
        <w:trPr>
          <w:trHeight w:val="3246"/>
        </w:trPr>
        <w:tc>
          <w:tcPr>
            <w:tcW w:w="3652" w:type="dxa"/>
            <w:shd w:val="clear" w:color="auto" w:fill="C6D9F1" w:themeFill="text2" w:themeFillTint="33"/>
          </w:tcPr>
          <w:p w14:paraId="02B61DCF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Opis teme, prijedloga ili problema o kojemu se provodi savjetovanje</w:t>
            </w:r>
          </w:p>
        </w:tc>
        <w:tc>
          <w:tcPr>
            <w:tcW w:w="5970" w:type="dxa"/>
            <w:shd w:val="clear" w:color="auto" w:fill="FFFFFF" w:themeFill="background1"/>
          </w:tcPr>
          <w:p w14:paraId="4F75BE90" w14:textId="5F18E66F" w:rsidR="006726A5" w:rsidRPr="006726A5" w:rsidRDefault="006726A5" w:rsidP="006726A5">
            <w:pPr>
              <w:widowControl w:val="0"/>
              <w:jc w:val="both"/>
              <w:rPr>
                <w:rFonts w:ascii="Garamond" w:hAnsi="Garamond" w:cs="Arial"/>
                <w:kern w:val="1"/>
                <w:lang w:eastAsia="en-GB" w:bidi="hi-IN"/>
              </w:rPr>
            </w:pPr>
            <w:proofErr w:type="spellStart"/>
            <w:r w:rsidRPr="006726A5">
              <w:rPr>
                <w:rFonts w:ascii="Garamond" w:hAnsi="Garamond"/>
              </w:rPr>
              <w:t>Člancima</w:t>
            </w:r>
            <w:proofErr w:type="spellEnd"/>
            <w:r w:rsidRPr="006726A5">
              <w:rPr>
                <w:rFonts w:ascii="Garamond" w:hAnsi="Garamond"/>
              </w:rPr>
              <w:t xml:space="preserve"> 69.-71. </w:t>
            </w:r>
            <w:proofErr w:type="spellStart"/>
            <w:r w:rsidRPr="006726A5">
              <w:rPr>
                <w:rFonts w:ascii="Garamond" w:hAnsi="Garamond"/>
              </w:rPr>
              <w:t>Statuta</w:t>
            </w:r>
            <w:proofErr w:type="spellEnd"/>
            <w:r w:rsidRPr="006726A5">
              <w:rPr>
                <w:rFonts w:ascii="Garamond" w:hAnsi="Garamond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</w:rPr>
              <w:t>Općine</w:t>
            </w:r>
            <w:proofErr w:type="spellEnd"/>
            <w:r w:rsidRPr="006726A5">
              <w:rPr>
                <w:rFonts w:ascii="Garamond" w:hAnsi="Garamond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</w:rPr>
              <w:t>Punat</w:t>
            </w:r>
            <w:proofErr w:type="spellEnd"/>
            <w:r w:rsidRPr="006726A5">
              <w:rPr>
                <w:rFonts w:ascii="Garamond" w:hAnsi="Garamond"/>
              </w:rPr>
              <w:t xml:space="preserve"> (“</w:t>
            </w:r>
            <w:proofErr w:type="spellStart"/>
            <w:r w:rsidRPr="006726A5">
              <w:rPr>
                <w:rFonts w:ascii="Garamond" w:hAnsi="Garamond"/>
              </w:rPr>
              <w:t>Službene</w:t>
            </w:r>
            <w:proofErr w:type="spellEnd"/>
            <w:r w:rsidRPr="006726A5">
              <w:rPr>
                <w:rFonts w:ascii="Garamond" w:hAnsi="Garamond"/>
              </w:rPr>
              <w:t xml:space="preserve"> novine </w:t>
            </w:r>
            <w:proofErr w:type="spellStart"/>
            <w:r w:rsidRPr="006726A5">
              <w:rPr>
                <w:rFonts w:ascii="Garamond" w:hAnsi="Garamond"/>
              </w:rPr>
              <w:t>Primorsko-goranske</w:t>
            </w:r>
            <w:proofErr w:type="spellEnd"/>
            <w:r w:rsidRPr="006726A5">
              <w:rPr>
                <w:rFonts w:ascii="Garamond" w:hAnsi="Garamond"/>
              </w:rPr>
              <w:t xml:space="preserve"> </w:t>
            </w:r>
            <w:proofErr w:type="spellStart"/>
            <w:r w:rsidRPr="006726A5">
              <w:rPr>
                <w:rFonts w:ascii="Garamond" w:hAnsi="Garamond"/>
              </w:rPr>
              <w:t>županije</w:t>
            </w:r>
            <w:proofErr w:type="spellEnd"/>
            <w:r w:rsidRPr="006726A5">
              <w:rPr>
                <w:rFonts w:ascii="Garamond" w:hAnsi="Garamond"/>
              </w:rPr>
              <w:t xml:space="preserve">”, </w:t>
            </w:r>
            <w:proofErr w:type="spellStart"/>
            <w:r w:rsidRPr="006726A5">
              <w:rPr>
                <w:rFonts w:ascii="Garamond" w:hAnsi="Garamond"/>
              </w:rPr>
              <w:t>broj</w:t>
            </w:r>
            <w:proofErr w:type="spellEnd"/>
            <w:r w:rsidRPr="006726A5">
              <w:rPr>
                <w:rFonts w:ascii="Garamond" w:hAnsi="Garamond"/>
              </w:rPr>
              <w:t xml:space="preserve"> </w:t>
            </w:r>
            <w:r w:rsidRPr="006726A5">
              <w:rPr>
                <w:rFonts w:ascii="Garamond" w:hAnsi="Garamond" w:cs="Arial"/>
                <w:shd w:val="clear" w:color="auto" w:fill="FFFFFF"/>
              </w:rPr>
              <w:t>8/18,</w:t>
            </w:r>
            <w:r w:rsidRPr="006726A5">
              <w:rPr>
                <w:rFonts w:ascii="Garamond" w:eastAsia="Calibri" w:hAnsi="Garamond"/>
              </w:rPr>
              <w:t xml:space="preserve"> 10/19, 3/20 </w:t>
            </w:r>
            <w:proofErr w:type="spellStart"/>
            <w:r w:rsidRPr="006726A5">
              <w:rPr>
                <w:rFonts w:ascii="Garamond" w:eastAsia="Calibri" w:hAnsi="Garamond"/>
              </w:rPr>
              <w:t>i</w:t>
            </w:r>
            <w:proofErr w:type="spellEnd"/>
            <w:r w:rsidRPr="006726A5">
              <w:rPr>
                <w:rFonts w:ascii="Garamond" w:eastAsia="Calibri" w:hAnsi="Garamond"/>
              </w:rPr>
              <w:t xml:space="preserve"> 3/21</w:t>
            </w:r>
            <w:r w:rsidRPr="006726A5">
              <w:rPr>
                <w:rFonts w:ascii="Garamond" w:hAnsi="Garamond"/>
              </w:rPr>
              <w:t xml:space="preserve">) </w:t>
            </w:r>
            <w:proofErr w:type="spellStart"/>
            <w:r w:rsidRPr="006726A5">
              <w:rPr>
                <w:rFonts w:ascii="Garamond" w:hAnsi="Garamond"/>
              </w:rPr>
              <w:t>propisano</w:t>
            </w:r>
            <w:proofErr w:type="spellEnd"/>
            <w:r w:rsidRPr="006726A5">
              <w:rPr>
                <w:rFonts w:ascii="Garamond" w:hAnsi="Garamond"/>
              </w:rPr>
              <w:t xml:space="preserve"> je da se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području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Općine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Punat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mogu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osnovati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mjesni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odbori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,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kao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oblici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mjesne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samouprave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, a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radi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ostvarivanja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neposrednog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sudjelovanja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građana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u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odlučivanju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o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lokalnim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poslovima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neposrednog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svakodnevnog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utjecaja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život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rad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građana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.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Mjesni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odbor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osniva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se za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pojedina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naselja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ili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za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dijelove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naselja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koji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čine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zasebnu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razgraničenu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cjelinu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(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dio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naselja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).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Mjesni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odbor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je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pravna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osoba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.</w:t>
            </w:r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Člankom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70.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Statuta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propisano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je da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područje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granice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mjesnih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odbora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,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način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njihove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promjene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,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sjedišta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pojedinih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mjesnih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odbora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te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sva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pitanja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vezana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uz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izbore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obavljanje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dužnosti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članova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vijeća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mjesnog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odbora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,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uređuju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se </w:t>
            </w:r>
            <w:proofErr w:type="spellStart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>odlukom</w:t>
            </w:r>
            <w:proofErr w:type="spellEnd"/>
            <w:r w:rsidRPr="006726A5"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>
              <w:rPr>
                <w:rFonts w:ascii="Garamond" w:hAnsi="Garamond" w:cs="Arial"/>
                <w:kern w:val="1"/>
                <w:lang w:eastAsia="en-GB" w:bidi="hi-IN"/>
              </w:rPr>
              <w:t>koju</w:t>
            </w:r>
            <w:proofErr w:type="spellEnd"/>
            <w:r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>
              <w:rPr>
                <w:rFonts w:ascii="Garamond" w:hAnsi="Garamond" w:cs="Arial"/>
                <w:kern w:val="1"/>
                <w:lang w:eastAsia="en-GB" w:bidi="hi-IN"/>
              </w:rPr>
              <w:t>donosi</w:t>
            </w:r>
            <w:proofErr w:type="spellEnd"/>
            <w:r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>
              <w:rPr>
                <w:rFonts w:ascii="Garamond" w:hAnsi="Garamond" w:cs="Arial"/>
                <w:kern w:val="1"/>
                <w:lang w:eastAsia="en-GB" w:bidi="hi-IN"/>
              </w:rPr>
              <w:t>Općinsko</w:t>
            </w:r>
            <w:proofErr w:type="spellEnd"/>
            <w:r>
              <w:rPr>
                <w:rFonts w:ascii="Garamond" w:hAnsi="Garamond" w:cs="Arial"/>
                <w:kern w:val="1"/>
                <w:lang w:eastAsia="en-GB" w:bidi="hi-IN"/>
              </w:rPr>
              <w:t xml:space="preserve"> </w:t>
            </w:r>
            <w:proofErr w:type="spellStart"/>
            <w:r>
              <w:rPr>
                <w:rFonts w:ascii="Garamond" w:hAnsi="Garamond" w:cs="Arial"/>
                <w:kern w:val="1"/>
                <w:lang w:eastAsia="en-GB" w:bidi="hi-IN"/>
              </w:rPr>
              <w:t>vijeće</w:t>
            </w:r>
            <w:proofErr w:type="spellEnd"/>
          </w:p>
          <w:p w14:paraId="004C8A19" w14:textId="2C22D5ED" w:rsidR="00A24241" w:rsidRPr="006726A5" w:rsidRDefault="00A24241" w:rsidP="00661669">
            <w:pPr>
              <w:tabs>
                <w:tab w:val="left" w:pos="709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F8062B" w14:paraId="568A9D06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44FCBA5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 xml:space="preserve">Svrha savjetovanja i cilj koji bi se prijedlogom želio postići </w:t>
            </w:r>
          </w:p>
        </w:tc>
        <w:tc>
          <w:tcPr>
            <w:tcW w:w="5970" w:type="dxa"/>
            <w:shd w:val="clear" w:color="auto" w:fill="FFFFFF" w:themeFill="background1"/>
          </w:tcPr>
          <w:p w14:paraId="54442D4C" w14:textId="77777777" w:rsidR="00A97881" w:rsidRPr="006726A5" w:rsidRDefault="00A97881" w:rsidP="00A97881">
            <w:pPr>
              <w:rPr>
                <w:rFonts w:ascii="Garamond" w:hAnsi="Garamond"/>
              </w:rPr>
            </w:pPr>
            <w:r w:rsidRPr="006726A5">
              <w:rPr>
                <w:rFonts w:ascii="Garamond" w:hAnsi="Garamond"/>
                <w:lang w:val="hr"/>
              </w:rPr>
              <w:t>Cilj savjetovanja sa zainteresiranom javnošću je upoznavanje zainteresirane javnosti s prijedlogom dokumenta te prikupljanje prijedloga i primjedbi zainteresirane javnosti koji će se razmatrati i eventualno prihvatiti.</w:t>
            </w:r>
          </w:p>
        </w:tc>
      </w:tr>
      <w:tr w:rsidR="00F8062B" w14:paraId="4E2F1C1C" w14:textId="77777777" w:rsidTr="004C3D0B">
        <w:trPr>
          <w:trHeight w:val="577"/>
        </w:trPr>
        <w:tc>
          <w:tcPr>
            <w:tcW w:w="3652" w:type="dxa"/>
            <w:shd w:val="clear" w:color="auto" w:fill="C6D9F1" w:themeFill="text2" w:themeFillTint="33"/>
          </w:tcPr>
          <w:p w14:paraId="1EB6C81F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Metoda savjetovanja</w:t>
            </w:r>
          </w:p>
        </w:tc>
        <w:tc>
          <w:tcPr>
            <w:tcW w:w="5970" w:type="dxa"/>
            <w:shd w:val="clear" w:color="auto" w:fill="FFFFFF" w:themeFill="background1"/>
          </w:tcPr>
          <w:p w14:paraId="6528180A" w14:textId="77777777" w:rsidR="00A97881" w:rsidRPr="006726A5" w:rsidRDefault="00A97881" w:rsidP="00A97881">
            <w:pPr>
              <w:rPr>
                <w:rFonts w:ascii="Garamond" w:hAnsi="Garamond"/>
              </w:rPr>
            </w:pPr>
            <w:r w:rsidRPr="006726A5">
              <w:rPr>
                <w:rFonts w:ascii="Garamond" w:hAnsi="Garamond"/>
                <w:lang w:val="hr"/>
              </w:rPr>
              <w:t>Savjetovanje se provodi javnom objavom na web stranici Općine Punat putem priloženog obrasca za sudjelovanje u savjetovanju.</w:t>
            </w:r>
          </w:p>
        </w:tc>
      </w:tr>
      <w:tr w:rsidR="00F8062B" w14:paraId="09CE97C3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00564E45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Rok zaprimanja odgovora i način na koji će biti pružena povratna informacija</w:t>
            </w:r>
          </w:p>
        </w:tc>
        <w:tc>
          <w:tcPr>
            <w:tcW w:w="5970" w:type="dxa"/>
            <w:shd w:val="clear" w:color="auto" w:fill="FFFFFF" w:themeFill="background1"/>
          </w:tcPr>
          <w:p w14:paraId="0A05565B" w14:textId="0AE68F7C" w:rsidR="00A97881" w:rsidRPr="006726A5" w:rsidRDefault="00A97881" w:rsidP="004C3D0B">
            <w:pPr>
              <w:rPr>
                <w:rFonts w:ascii="Garamond" w:hAnsi="Garamond"/>
              </w:rPr>
            </w:pPr>
            <w:r w:rsidRPr="006726A5">
              <w:rPr>
                <w:rFonts w:ascii="Garamond" w:hAnsi="Garamond"/>
                <w:lang w:val="hr"/>
              </w:rPr>
              <w:t>Savjetovanje je otvoreno</w:t>
            </w:r>
            <w:r w:rsidR="005F490C" w:rsidRPr="006726A5">
              <w:rPr>
                <w:rFonts w:ascii="Garamond" w:hAnsi="Garamond"/>
                <w:lang w:val="hr"/>
              </w:rPr>
              <w:t xml:space="preserve"> od </w:t>
            </w:r>
            <w:r w:rsidR="006726A5">
              <w:rPr>
                <w:rFonts w:ascii="Garamond" w:hAnsi="Garamond"/>
                <w:lang w:val="hr"/>
              </w:rPr>
              <w:t>20</w:t>
            </w:r>
            <w:r w:rsidR="00922BAC" w:rsidRPr="006726A5">
              <w:rPr>
                <w:rFonts w:ascii="Garamond" w:hAnsi="Garamond"/>
                <w:lang w:val="hr"/>
              </w:rPr>
              <w:t xml:space="preserve">. </w:t>
            </w:r>
            <w:r w:rsidRPr="006726A5">
              <w:rPr>
                <w:rFonts w:ascii="Garamond" w:hAnsi="Garamond"/>
                <w:lang w:val="hr"/>
              </w:rPr>
              <w:t xml:space="preserve"> </w:t>
            </w:r>
            <w:r w:rsidR="006726A5">
              <w:rPr>
                <w:rFonts w:ascii="Garamond" w:hAnsi="Garamond"/>
                <w:lang w:val="hr"/>
              </w:rPr>
              <w:t>rujn</w:t>
            </w:r>
            <w:r w:rsidR="0053754A" w:rsidRPr="006726A5">
              <w:rPr>
                <w:rFonts w:ascii="Garamond" w:hAnsi="Garamond"/>
                <w:lang w:val="hr"/>
              </w:rPr>
              <w:t>a</w:t>
            </w:r>
            <w:r w:rsidRPr="006726A5">
              <w:rPr>
                <w:rFonts w:ascii="Garamond" w:hAnsi="Garamond"/>
                <w:lang w:val="hr"/>
              </w:rPr>
              <w:t xml:space="preserve"> do </w:t>
            </w:r>
            <w:r w:rsidR="006726A5">
              <w:rPr>
                <w:rFonts w:ascii="Garamond" w:hAnsi="Garamond"/>
                <w:lang w:val="hr"/>
              </w:rPr>
              <w:t>20</w:t>
            </w:r>
            <w:r w:rsidRPr="006726A5">
              <w:rPr>
                <w:rFonts w:ascii="Garamond" w:hAnsi="Garamond"/>
                <w:lang w:val="hr"/>
              </w:rPr>
              <w:t xml:space="preserve">.  </w:t>
            </w:r>
            <w:r w:rsidR="006726A5">
              <w:rPr>
                <w:rFonts w:ascii="Garamond" w:hAnsi="Garamond"/>
                <w:lang w:val="hr"/>
              </w:rPr>
              <w:t xml:space="preserve">listopada </w:t>
            </w:r>
            <w:r w:rsidRPr="006726A5">
              <w:rPr>
                <w:rFonts w:ascii="Garamond" w:hAnsi="Garamond"/>
                <w:lang w:val="hr"/>
              </w:rPr>
              <w:t>202</w:t>
            </w:r>
            <w:r w:rsidR="0053754A" w:rsidRPr="006726A5">
              <w:rPr>
                <w:rFonts w:ascii="Garamond" w:hAnsi="Garamond"/>
                <w:lang w:val="hr"/>
              </w:rPr>
              <w:t>2</w:t>
            </w:r>
            <w:r w:rsidRPr="006726A5">
              <w:rPr>
                <w:rFonts w:ascii="Garamond" w:hAnsi="Garamond"/>
                <w:lang w:val="hr"/>
              </w:rPr>
              <w:t>. godine. Povratne informacije bit će pružene putem Izvješća o provedenom savjetovanju, koje će se po zaključenju</w:t>
            </w:r>
            <w:r w:rsidR="00922BAC" w:rsidRPr="006726A5">
              <w:rPr>
                <w:rFonts w:ascii="Garamond" w:hAnsi="Garamond"/>
                <w:lang w:val="hr"/>
              </w:rPr>
              <w:t xml:space="preserve"> savjetovanja objaviti na web stran</w:t>
            </w:r>
            <w:r w:rsidRPr="006726A5">
              <w:rPr>
                <w:rFonts w:ascii="Garamond" w:hAnsi="Garamond"/>
                <w:lang w:val="hr"/>
              </w:rPr>
              <w:t>ici kao prilog savjetovanja.</w:t>
            </w:r>
          </w:p>
        </w:tc>
      </w:tr>
      <w:tr w:rsidR="00F8062B" w14:paraId="790440C6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55A0C642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 xml:space="preserve">Ime, adresa, broj telefona i e-mail adresa osobe kojoj se sudionici savjetovanja mogu obratiti za dodatne upite </w:t>
            </w:r>
          </w:p>
        </w:tc>
        <w:tc>
          <w:tcPr>
            <w:tcW w:w="5970" w:type="dxa"/>
            <w:shd w:val="clear" w:color="auto" w:fill="FFFFFF" w:themeFill="background1"/>
          </w:tcPr>
          <w:p w14:paraId="13E2A5ED" w14:textId="582F7DB8" w:rsidR="00A97881" w:rsidRPr="006726A5" w:rsidRDefault="00A97881" w:rsidP="004C3D0B">
            <w:pPr>
              <w:rPr>
                <w:rFonts w:ascii="Garamond" w:hAnsi="Garamond"/>
              </w:rPr>
            </w:pPr>
            <w:r w:rsidRPr="006726A5">
              <w:rPr>
                <w:rFonts w:ascii="Garamond" w:hAnsi="Garamond"/>
                <w:lang w:val="hr"/>
              </w:rPr>
              <w:t xml:space="preserve">Za sve dodatne upite, sudionici savjetovanja mogu se obratiti </w:t>
            </w:r>
            <w:r w:rsidR="004C3D0B" w:rsidRPr="006726A5">
              <w:rPr>
                <w:rFonts w:ascii="Garamond" w:hAnsi="Garamond"/>
                <w:lang w:val="hr"/>
              </w:rPr>
              <w:t>Nataši Kleković</w:t>
            </w:r>
            <w:r w:rsidRPr="006726A5">
              <w:rPr>
                <w:rFonts w:ascii="Garamond" w:hAnsi="Garamond"/>
                <w:lang w:val="hr"/>
              </w:rPr>
              <w:t xml:space="preserve">, pisanim putem na e-mail adresu: </w:t>
            </w:r>
            <w:hyperlink r:id="rId5" w:history="1">
              <w:r w:rsidR="0082355F" w:rsidRPr="006726A5">
                <w:rPr>
                  <w:rStyle w:val="Hiperveza"/>
                  <w:rFonts w:ascii="Garamond" w:hAnsi="Garamond"/>
                  <w:lang w:val="hr"/>
                </w:rPr>
                <w:t>natasa.klekovic@punat.hr</w:t>
              </w:r>
            </w:hyperlink>
            <w:r w:rsidRPr="006726A5">
              <w:rPr>
                <w:rFonts w:ascii="Garamond" w:hAnsi="Garamond"/>
                <w:lang w:val="hr"/>
              </w:rPr>
              <w:t xml:space="preserve"> ili poštom na adresu Općine Punat, Novi put 2, 51521 Punat.</w:t>
            </w:r>
          </w:p>
        </w:tc>
      </w:tr>
      <w:tr w:rsidR="00F8062B" w14:paraId="7169EFD5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3335D74E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Zahtjev onima koji sudjeluju u savjetovanju</w:t>
            </w:r>
          </w:p>
        </w:tc>
        <w:tc>
          <w:tcPr>
            <w:tcW w:w="5970" w:type="dxa"/>
            <w:shd w:val="clear" w:color="auto" w:fill="FFFFFF" w:themeFill="background1"/>
          </w:tcPr>
          <w:p w14:paraId="33918A0D" w14:textId="77777777" w:rsidR="00A97881" w:rsidRPr="006726A5" w:rsidRDefault="00A97881" w:rsidP="00A97881">
            <w:pPr>
              <w:rPr>
                <w:rFonts w:ascii="Garamond" w:hAnsi="Garamond"/>
              </w:rPr>
            </w:pPr>
            <w:r w:rsidRPr="006726A5">
              <w:rPr>
                <w:rFonts w:ascii="Garamond" w:hAnsi="Garamond"/>
                <w:lang w:val="hr"/>
              </w:rPr>
              <w:t xml:space="preserve">Molimo sve sudionike u savjetovanju da navedu svoje ime i prezime, u čije ime daju mišljenje, odnosno koga predstavljaju te jesu </w:t>
            </w:r>
            <w:r w:rsidR="00054951" w:rsidRPr="006726A5">
              <w:rPr>
                <w:rFonts w:ascii="Garamond" w:hAnsi="Garamond"/>
                <w:lang w:val="hr"/>
              </w:rPr>
              <w:t>l</w:t>
            </w:r>
            <w:r w:rsidRPr="006726A5">
              <w:rPr>
                <w:rFonts w:ascii="Garamond" w:hAnsi="Garamond"/>
                <w:lang w:val="hr"/>
              </w:rPr>
              <w:t>i koga posebno dodatno konzultirali - sukladno propisima o zaštiti osobnih podataka isti će biti objavljeni isključivo ukoliko sudionik u savjetovanju tako navede na obrascu za sudjelovanje, odnosno da svoju privolu.</w:t>
            </w:r>
          </w:p>
        </w:tc>
      </w:tr>
      <w:tr w:rsidR="00F8062B" w14:paraId="686397BA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0822B9CA" w14:textId="77777777" w:rsidR="00A97881" w:rsidRPr="006726A5" w:rsidRDefault="00A97881" w:rsidP="00A97881">
            <w:pPr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Dostupnost odgovora</w:t>
            </w:r>
          </w:p>
        </w:tc>
        <w:tc>
          <w:tcPr>
            <w:tcW w:w="5970" w:type="dxa"/>
            <w:shd w:val="clear" w:color="auto" w:fill="FFFFFF" w:themeFill="background1"/>
          </w:tcPr>
          <w:p w14:paraId="373E3427" w14:textId="77777777" w:rsidR="00A97881" w:rsidRPr="006726A5" w:rsidRDefault="00A97881" w:rsidP="00A97881">
            <w:pPr>
              <w:rPr>
                <w:rFonts w:ascii="Garamond" w:hAnsi="Garamond"/>
              </w:rPr>
            </w:pPr>
            <w:r w:rsidRPr="006726A5">
              <w:rPr>
                <w:rFonts w:ascii="Garamond" w:hAnsi="Garamond"/>
                <w:lang w:val="hr"/>
              </w:rPr>
              <w:t>Odgovori će biti dostupni na službenoj web stranici Općine Punat u sklopu Izvješća o provedenom savjetovanju, osim kada je onaj tko je poslao odgovor tražio da podaci ostanu povjerljivi.</w:t>
            </w:r>
          </w:p>
        </w:tc>
      </w:tr>
      <w:tr w:rsidR="00AA44B0" w14:paraId="34D1EE4E" w14:textId="77777777" w:rsidTr="001D46CB">
        <w:trPr>
          <w:trHeight w:val="283"/>
        </w:trPr>
        <w:tc>
          <w:tcPr>
            <w:tcW w:w="36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C0B96C" w14:textId="77777777" w:rsidR="00AA44B0" w:rsidRPr="006726A5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F9651EE" w14:textId="77777777" w:rsidR="00AA44B0" w:rsidRPr="006726A5" w:rsidRDefault="00AA44B0" w:rsidP="00A97881">
            <w:pPr>
              <w:rPr>
                <w:rFonts w:ascii="Garamond" w:hAnsi="Garamond"/>
              </w:rPr>
            </w:pPr>
          </w:p>
        </w:tc>
      </w:tr>
      <w:tr w:rsidR="00A97881" w14:paraId="1C434FB5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14:paraId="74AFEDD1" w14:textId="77777777" w:rsidR="00A97881" w:rsidRPr="006726A5" w:rsidRDefault="00A97881" w:rsidP="00A97881">
            <w:pPr>
              <w:jc w:val="center"/>
              <w:rPr>
                <w:rFonts w:ascii="Garamond" w:hAnsi="Garamond"/>
                <w:b/>
              </w:rPr>
            </w:pPr>
            <w:r w:rsidRPr="006726A5">
              <w:rPr>
                <w:rFonts w:ascii="Garamond" w:hAnsi="Garamond"/>
                <w:b/>
                <w:lang w:val="hr"/>
              </w:rPr>
              <w:t>Pozivaju se sudionici savjetovanja na dostavu povratnih informacija o samom procesu savjetovanja te prijedloga za poboljšanje savjetovanja u budućnosti. Hvala!</w:t>
            </w:r>
          </w:p>
        </w:tc>
      </w:tr>
    </w:tbl>
    <w:p w14:paraId="623F0A31" w14:textId="77777777" w:rsidR="006726A5" w:rsidRPr="006726A5" w:rsidRDefault="006726A5" w:rsidP="006726A5"/>
    <w:sectPr w:rsidR="006726A5" w:rsidRPr="006726A5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326"/>
    <w:multiLevelType w:val="hybridMultilevel"/>
    <w:tmpl w:val="01603A90"/>
    <w:lvl w:ilvl="0" w:tplc="10CEF2BE">
      <w:start w:val="1"/>
      <w:numFmt w:val="bullet"/>
      <w:lvlText w:val="-"/>
      <w:lvlJc w:val="left"/>
      <w:pPr>
        <w:ind w:left="7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1475494">
    <w:abstractNumId w:val="1"/>
  </w:num>
  <w:num w:numId="2" w16cid:durableId="680938800">
    <w:abstractNumId w:val="2"/>
  </w:num>
  <w:num w:numId="3" w16cid:durableId="43883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81"/>
    <w:rsid w:val="00022961"/>
    <w:rsid w:val="00054951"/>
    <w:rsid w:val="000B36E9"/>
    <w:rsid w:val="001D46CB"/>
    <w:rsid w:val="0033077F"/>
    <w:rsid w:val="00354DC3"/>
    <w:rsid w:val="00360492"/>
    <w:rsid w:val="003A17D3"/>
    <w:rsid w:val="0041113D"/>
    <w:rsid w:val="00456397"/>
    <w:rsid w:val="004A7375"/>
    <w:rsid w:val="004C3D0B"/>
    <w:rsid w:val="00533D4E"/>
    <w:rsid w:val="0053754A"/>
    <w:rsid w:val="00555003"/>
    <w:rsid w:val="005F490C"/>
    <w:rsid w:val="00652219"/>
    <w:rsid w:val="00661669"/>
    <w:rsid w:val="006633D1"/>
    <w:rsid w:val="00671D7F"/>
    <w:rsid w:val="006726A5"/>
    <w:rsid w:val="00817BC4"/>
    <w:rsid w:val="0082355F"/>
    <w:rsid w:val="00831052"/>
    <w:rsid w:val="008C2C62"/>
    <w:rsid w:val="009059F5"/>
    <w:rsid w:val="00920BD6"/>
    <w:rsid w:val="00922BAC"/>
    <w:rsid w:val="00944FA8"/>
    <w:rsid w:val="00963AAF"/>
    <w:rsid w:val="009A75FF"/>
    <w:rsid w:val="009D7FF5"/>
    <w:rsid w:val="00A24241"/>
    <w:rsid w:val="00A6044C"/>
    <w:rsid w:val="00A97881"/>
    <w:rsid w:val="00AA44B0"/>
    <w:rsid w:val="00B23830"/>
    <w:rsid w:val="00B8606A"/>
    <w:rsid w:val="00BC0ADA"/>
    <w:rsid w:val="00C5604C"/>
    <w:rsid w:val="00CD01B4"/>
    <w:rsid w:val="00EA0829"/>
    <w:rsid w:val="00EA7ECD"/>
    <w:rsid w:val="00F8062B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AED"/>
  <w15:docId w15:val="{DCD5C25C-F2A3-42CA-BE1E-9E3742D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7881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A2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ody">
    <w:name w:val="body"/>
    <w:basedOn w:val="Normal"/>
    <w:rsid w:val="00A2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672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klekov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lorlic</dc:creator>
  <dc:description/>
  <cp:lastModifiedBy>Nataša Kleković</cp:lastModifiedBy>
  <cp:revision>1</cp:revision>
  <cp:lastPrinted>2022-09-20T11:49:00Z</cp:lastPrinted>
  <dcterms:created xsi:type="dcterms:W3CDTF">2022-08-16T07:44:00Z</dcterms:created>
  <dcterms:modified xsi:type="dcterms:W3CDTF">2022-09-20T11:49:00Z</dcterms:modified>
  <cp:category/>
</cp:coreProperties>
</file>