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16"/>
        <w:tblW w:w="10485"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80"/>
        <w:gridCol w:w="8505"/>
      </w:tblGrid>
      <w:tr w:rsidR="00FA36A5" w:rsidRPr="002B253A" w14:paraId="16A820B6" w14:textId="77777777" w:rsidTr="003B0491">
        <w:trPr>
          <w:trHeight w:hRule="exact" w:val="609"/>
        </w:trPr>
        <w:tc>
          <w:tcPr>
            <w:tcW w:w="10485" w:type="dxa"/>
            <w:gridSpan w:val="2"/>
            <w:tcBorders>
              <w:top w:val="single" w:sz="4" w:space="0" w:color="auto"/>
              <w:left w:val="single" w:sz="4" w:space="0" w:color="auto"/>
              <w:bottom w:val="single" w:sz="4" w:space="0" w:color="auto"/>
              <w:right w:val="single" w:sz="4" w:space="0" w:color="auto"/>
            </w:tcBorders>
            <w:shd w:val="clear" w:color="auto" w:fill="0070C0"/>
          </w:tcPr>
          <w:p w14:paraId="04A3D57B" w14:textId="77777777" w:rsidR="00FA36A5" w:rsidRPr="002B253A" w:rsidRDefault="00FA36A5" w:rsidP="003B0491">
            <w:pPr>
              <w:spacing w:before="3" w:after="0" w:line="140" w:lineRule="exact"/>
              <w:ind w:right="-432"/>
              <w:rPr>
                <w:rFonts w:ascii="Garamond" w:hAnsi="Garamond"/>
                <w:sz w:val="24"/>
                <w:szCs w:val="24"/>
              </w:rPr>
            </w:pPr>
          </w:p>
          <w:p w14:paraId="1C417813" w14:textId="77777777" w:rsidR="00FA36A5" w:rsidRPr="002B253A" w:rsidRDefault="00FA36A5" w:rsidP="003B0491">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FA36A5" w:rsidRPr="002B253A" w14:paraId="23399E27" w14:textId="77777777" w:rsidTr="003B0491">
        <w:trPr>
          <w:trHeight w:hRule="exact" w:val="1102"/>
        </w:trPr>
        <w:tc>
          <w:tcPr>
            <w:tcW w:w="1980" w:type="dxa"/>
            <w:tcBorders>
              <w:top w:val="single" w:sz="4" w:space="0" w:color="auto"/>
              <w:bottom w:val="single" w:sz="6" w:space="0" w:color="231F20"/>
            </w:tcBorders>
            <w:shd w:val="clear" w:color="auto" w:fill="D5DCE4" w:themeFill="text2" w:themeFillTint="33"/>
          </w:tcPr>
          <w:p w14:paraId="4AFB953F" w14:textId="77777777" w:rsidR="00FA36A5" w:rsidRPr="002B253A" w:rsidRDefault="00FA36A5" w:rsidP="003B0491">
            <w:pPr>
              <w:spacing w:after="0" w:line="200" w:lineRule="exact"/>
              <w:rPr>
                <w:rFonts w:ascii="Garamond" w:hAnsi="Garamond"/>
                <w:sz w:val="24"/>
                <w:szCs w:val="24"/>
              </w:rPr>
            </w:pPr>
          </w:p>
          <w:p w14:paraId="30997565" w14:textId="77777777" w:rsidR="00FA36A5" w:rsidRPr="002B253A" w:rsidRDefault="00FA36A5" w:rsidP="003B0491">
            <w:pPr>
              <w:spacing w:before="1" w:after="0" w:line="240" w:lineRule="exact"/>
              <w:rPr>
                <w:rFonts w:ascii="Garamond" w:hAnsi="Garamond"/>
                <w:sz w:val="24"/>
                <w:szCs w:val="24"/>
              </w:rPr>
            </w:pPr>
          </w:p>
          <w:p w14:paraId="0A395F90" w14:textId="77777777" w:rsidR="00FA36A5" w:rsidRPr="002B253A" w:rsidRDefault="00FA36A5" w:rsidP="003B0491">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8505" w:type="dxa"/>
            <w:tcBorders>
              <w:top w:val="single" w:sz="4" w:space="0" w:color="auto"/>
              <w:bottom w:val="single" w:sz="6" w:space="0" w:color="231F20"/>
            </w:tcBorders>
            <w:shd w:val="clear" w:color="auto" w:fill="D5DCE4" w:themeFill="text2" w:themeFillTint="33"/>
          </w:tcPr>
          <w:p w14:paraId="5613CFCF" w14:textId="77777777" w:rsidR="00FA36A5" w:rsidRPr="002B253A" w:rsidRDefault="00FA36A5" w:rsidP="003B0491">
            <w:pPr>
              <w:spacing w:after="0" w:line="240" w:lineRule="auto"/>
              <w:ind w:right="-20"/>
              <w:rPr>
                <w:rFonts w:ascii="Garamond" w:eastAsia="Myriad Pro" w:hAnsi="Garamond" w:cs="Myriad Pro"/>
                <w:color w:val="231F20"/>
                <w:sz w:val="24"/>
                <w:szCs w:val="24"/>
              </w:rPr>
            </w:pPr>
          </w:p>
          <w:p w14:paraId="51181064" w14:textId="2EE0CE29" w:rsidR="00FA36A5" w:rsidRPr="008F17A4" w:rsidRDefault="00FA36A5" w:rsidP="003B0491">
            <w:pPr>
              <w:spacing w:after="0" w:line="240" w:lineRule="auto"/>
              <w:ind w:right="-20"/>
              <w:rPr>
                <w:rFonts w:ascii="Garamond" w:eastAsia="Myriad Pro" w:hAnsi="Garamond" w:cs="Myriad Pro"/>
                <w:color w:val="231F20"/>
                <w:sz w:val="24"/>
                <w:szCs w:val="24"/>
              </w:rPr>
            </w:pP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 xml:space="preserve">rijedlog </w:t>
            </w:r>
            <w:r>
              <w:rPr>
                <w:rFonts w:ascii="Garamond" w:eastAsia="Myriad Pro" w:hAnsi="Garamond" w:cs="Myriad Pro"/>
                <w:color w:val="231F20"/>
                <w:sz w:val="24"/>
                <w:szCs w:val="24"/>
              </w:rPr>
              <w:t>Odluke o komunalnom redu</w:t>
            </w:r>
          </w:p>
        </w:tc>
      </w:tr>
      <w:tr w:rsidR="00FA36A5" w:rsidRPr="002B253A" w14:paraId="31EC0010" w14:textId="77777777" w:rsidTr="003B0491">
        <w:trPr>
          <w:trHeight w:hRule="exact" w:val="1134"/>
        </w:trPr>
        <w:tc>
          <w:tcPr>
            <w:tcW w:w="1980" w:type="dxa"/>
            <w:tcBorders>
              <w:top w:val="single" w:sz="6" w:space="0" w:color="231F20"/>
              <w:bottom w:val="single" w:sz="6" w:space="0" w:color="231F20"/>
            </w:tcBorders>
            <w:shd w:val="clear" w:color="auto" w:fill="D5DCE4" w:themeFill="text2" w:themeFillTint="33"/>
          </w:tcPr>
          <w:p w14:paraId="7474FF21" w14:textId="77777777" w:rsidR="00FA36A5" w:rsidRPr="002B253A" w:rsidRDefault="00FA36A5" w:rsidP="003B0491">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8505" w:type="dxa"/>
            <w:tcBorders>
              <w:top w:val="single" w:sz="6" w:space="0" w:color="231F20"/>
              <w:bottom w:val="single" w:sz="6" w:space="0" w:color="231F20"/>
            </w:tcBorders>
            <w:shd w:val="clear" w:color="auto" w:fill="D5DCE4" w:themeFill="text2" w:themeFillTint="33"/>
          </w:tcPr>
          <w:p w14:paraId="476C8156" w14:textId="77777777" w:rsidR="00FA36A5" w:rsidRPr="002B253A" w:rsidRDefault="00FA36A5" w:rsidP="003B0491">
            <w:pPr>
              <w:spacing w:before="16" w:after="0" w:line="280" w:lineRule="exact"/>
              <w:rPr>
                <w:rFonts w:ascii="Garamond" w:hAnsi="Garamond"/>
                <w:sz w:val="24"/>
                <w:szCs w:val="24"/>
              </w:rPr>
            </w:pPr>
          </w:p>
          <w:p w14:paraId="28AA8CE5" w14:textId="77777777" w:rsidR="00FA36A5" w:rsidRPr="002B253A" w:rsidRDefault="00FA36A5" w:rsidP="003B0491">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FA36A5" w:rsidRPr="002B253A" w14:paraId="2E267BE7" w14:textId="77777777" w:rsidTr="003B0491">
        <w:trPr>
          <w:trHeight w:hRule="exact" w:val="3969"/>
        </w:trPr>
        <w:tc>
          <w:tcPr>
            <w:tcW w:w="1980" w:type="dxa"/>
            <w:tcBorders>
              <w:top w:val="single" w:sz="6" w:space="0" w:color="231F20"/>
              <w:bottom w:val="single" w:sz="6" w:space="0" w:color="231F20"/>
            </w:tcBorders>
            <w:shd w:val="clear" w:color="auto" w:fill="D5DCE4" w:themeFill="text2" w:themeFillTint="33"/>
          </w:tcPr>
          <w:p w14:paraId="45CB3B9B" w14:textId="77777777" w:rsidR="00FA36A5" w:rsidRPr="002B253A" w:rsidRDefault="00FA36A5" w:rsidP="003B049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8505" w:type="dxa"/>
            <w:tcBorders>
              <w:top w:val="single" w:sz="6" w:space="0" w:color="231F20"/>
              <w:bottom w:val="single" w:sz="6" w:space="0" w:color="231F20"/>
            </w:tcBorders>
            <w:shd w:val="clear" w:color="auto" w:fill="D5DCE4" w:themeFill="text2" w:themeFillTint="33"/>
          </w:tcPr>
          <w:p w14:paraId="45803D9C" w14:textId="77777777" w:rsidR="00FA36A5" w:rsidRDefault="00FA36A5" w:rsidP="003B0491">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 xml:space="preserve">Stupanjem na snagu novog Zakona o </w:t>
            </w:r>
            <w:r>
              <w:t xml:space="preserve"> </w:t>
            </w:r>
            <w:r w:rsidRPr="009349B7">
              <w:rPr>
                <w:rFonts w:ascii="Garamond" w:eastAsia="Myriad Pro" w:hAnsi="Garamond" w:cs="Myriad Pro"/>
                <w:sz w:val="24"/>
                <w:szCs w:val="24"/>
              </w:rPr>
              <w:t>o pomorskom dobru i morskim lukama (“Narodne novine” broj 83/23)</w:t>
            </w:r>
            <w:r>
              <w:rPr>
                <w:rFonts w:ascii="Garamond" w:eastAsia="Myriad Pro" w:hAnsi="Garamond" w:cs="Myriad Pro"/>
                <w:sz w:val="24"/>
                <w:szCs w:val="24"/>
              </w:rPr>
              <w:t xml:space="preserve"> unesene su novine koje se odnose na upravljanje i održavanje pomorskog dobra te su odredbe koje se odnose na pomorsko dobro </w:t>
            </w:r>
            <w:r w:rsidR="006C687D">
              <w:rPr>
                <w:rFonts w:ascii="Garamond" w:eastAsia="Myriad Pro" w:hAnsi="Garamond" w:cs="Myriad Pro"/>
                <w:sz w:val="24"/>
                <w:szCs w:val="24"/>
              </w:rPr>
              <w:t>izbrisane iz ove Odluke. Definirane su jasnije neke odredbe Odluke (npr. odvodnja krovne oborinske vode</w:t>
            </w:r>
            <w:r w:rsidR="006245EA">
              <w:rPr>
                <w:rFonts w:ascii="Garamond" w:eastAsia="Myriad Pro" w:hAnsi="Garamond" w:cs="Myriad Pro"/>
                <w:sz w:val="24"/>
                <w:szCs w:val="24"/>
              </w:rPr>
              <w:t>) te su konvertirani iznosi iz kune u euro.</w:t>
            </w:r>
          </w:p>
          <w:p w14:paraId="20BA8253" w14:textId="73B1619C" w:rsidR="006245EA" w:rsidRPr="002B253A" w:rsidRDefault="006245EA" w:rsidP="003B0491">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Donosi se nova odluka budući da posojeća odluka ima već dvije izmjene te radi lakše preglednosti i korištenja iste.</w:t>
            </w:r>
          </w:p>
        </w:tc>
      </w:tr>
      <w:tr w:rsidR="00FA36A5" w:rsidRPr="002B253A" w14:paraId="223469AA" w14:textId="77777777" w:rsidTr="003B0491">
        <w:trPr>
          <w:trHeight w:hRule="exact" w:val="360"/>
        </w:trPr>
        <w:tc>
          <w:tcPr>
            <w:tcW w:w="1980" w:type="dxa"/>
            <w:tcBorders>
              <w:top w:val="single" w:sz="6" w:space="0" w:color="231F20"/>
              <w:bottom w:val="single" w:sz="6" w:space="0" w:color="231F20"/>
            </w:tcBorders>
            <w:shd w:val="clear" w:color="auto" w:fill="D5DCE4" w:themeFill="text2" w:themeFillTint="33"/>
          </w:tcPr>
          <w:p w14:paraId="156C06EA" w14:textId="77777777" w:rsidR="00FA36A5" w:rsidRPr="002B253A" w:rsidRDefault="00FA36A5" w:rsidP="003B049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8505" w:type="dxa"/>
            <w:tcBorders>
              <w:top w:val="single" w:sz="6" w:space="0" w:color="231F20"/>
              <w:bottom w:val="single" w:sz="6" w:space="0" w:color="231F20"/>
            </w:tcBorders>
            <w:shd w:val="clear" w:color="auto" w:fill="D5DCE4" w:themeFill="text2" w:themeFillTint="33"/>
          </w:tcPr>
          <w:p w14:paraId="6C52091C" w14:textId="057317DB" w:rsidR="00FA36A5" w:rsidRPr="002B253A" w:rsidRDefault="003F33DF" w:rsidP="003B0491">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1</w:t>
            </w:r>
            <w:r w:rsidR="005F018A">
              <w:rPr>
                <w:rFonts w:ascii="Garamond" w:eastAsia="Myriad Pro" w:hAnsi="Garamond" w:cs="Myriad Pro"/>
                <w:color w:val="231F20"/>
                <w:sz w:val="24"/>
                <w:szCs w:val="24"/>
              </w:rPr>
              <w:t>4</w:t>
            </w:r>
            <w:r w:rsidR="00FA36A5" w:rsidRPr="002B253A">
              <w:rPr>
                <w:rFonts w:ascii="Garamond" w:eastAsia="Myriad Pro" w:hAnsi="Garamond" w:cs="Myriad Pro"/>
                <w:color w:val="231F20"/>
                <w:sz w:val="24"/>
                <w:szCs w:val="24"/>
              </w:rPr>
              <w:t xml:space="preserve">. </w:t>
            </w:r>
            <w:r w:rsidR="006245EA">
              <w:rPr>
                <w:rFonts w:ascii="Garamond" w:eastAsia="Myriad Pro" w:hAnsi="Garamond" w:cs="Myriad Pro"/>
                <w:color w:val="231F20"/>
                <w:sz w:val="24"/>
                <w:szCs w:val="24"/>
              </w:rPr>
              <w:t>studenog</w:t>
            </w:r>
            <w:r w:rsidR="00FA36A5" w:rsidRPr="002B253A">
              <w:rPr>
                <w:rFonts w:ascii="Garamond" w:eastAsia="Myriad Pro" w:hAnsi="Garamond" w:cs="Myriad Pro"/>
                <w:color w:val="231F20"/>
                <w:sz w:val="24"/>
                <w:szCs w:val="24"/>
              </w:rPr>
              <w:t xml:space="preserve"> 20</w:t>
            </w:r>
            <w:r w:rsidR="00FA36A5">
              <w:rPr>
                <w:rFonts w:ascii="Garamond" w:eastAsia="Myriad Pro" w:hAnsi="Garamond" w:cs="Myriad Pro"/>
                <w:color w:val="231F20"/>
                <w:sz w:val="24"/>
                <w:szCs w:val="24"/>
              </w:rPr>
              <w:t>23</w:t>
            </w:r>
            <w:r w:rsidR="00FA36A5" w:rsidRPr="002B253A">
              <w:rPr>
                <w:rFonts w:ascii="Garamond" w:eastAsia="Myriad Pro" w:hAnsi="Garamond" w:cs="Myriad Pro"/>
                <w:color w:val="231F20"/>
                <w:sz w:val="24"/>
                <w:szCs w:val="24"/>
              </w:rPr>
              <w:t>. godine</w:t>
            </w:r>
          </w:p>
        </w:tc>
      </w:tr>
      <w:tr w:rsidR="00FA36A5" w:rsidRPr="002B253A" w14:paraId="09727543" w14:textId="77777777" w:rsidTr="003B0491">
        <w:trPr>
          <w:trHeight w:hRule="exact" w:val="631"/>
        </w:trPr>
        <w:tc>
          <w:tcPr>
            <w:tcW w:w="10485" w:type="dxa"/>
            <w:gridSpan w:val="2"/>
            <w:tcBorders>
              <w:top w:val="single" w:sz="6" w:space="0" w:color="231F20"/>
              <w:bottom w:val="single" w:sz="6" w:space="0" w:color="231F20"/>
            </w:tcBorders>
            <w:shd w:val="clear" w:color="auto" w:fill="D5DCE4" w:themeFill="text2" w:themeFillTint="33"/>
          </w:tcPr>
          <w:p w14:paraId="4FC66736" w14:textId="22477742" w:rsidR="00FA36A5" w:rsidRPr="002B253A" w:rsidRDefault="00FA36A5" w:rsidP="003B049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w:t>
            </w:r>
            <w:r>
              <w:t xml:space="preserve"> </w:t>
            </w:r>
            <w:r w:rsidRPr="00DF747A">
              <w:rPr>
                <w:rFonts w:ascii="Garamond" w:eastAsia="Myriad Pro" w:hAnsi="Garamond" w:cs="Myriad Pro"/>
                <w:color w:val="231F20"/>
                <w:sz w:val="24"/>
                <w:szCs w:val="24"/>
              </w:rPr>
              <w:t xml:space="preserve">Odluke o </w:t>
            </w:r>
            <w:r w:rsidR="006245EA">
              <w:rPr>
                <w:rFonts w:ascii="Garamond" w:eastAsia="Myriad Pro" w:hAnsi="Garamond" w:cs="Myriad Pro"/>
                <w:color w:val="231F20"/>
                <w:sz w:val="24"/>
                <w:szCs w:val="24"/>
              </w:rPr>
              <w:t xml:space="preserve">komunalnom </w:t>
            </w:r>
            <w:r w:rsidRPr="00DF747A">
              <w:rPr>
                <w:rFonts w:ascii="Garamond" w:eastAsia="Myriad Pro" w:hAnsi="Garamond" w:cs="Myriad Pro"/>
                <w:color w:val="231F20"/>
                <w:sz w:val="24"/>
                <w:szCs w:val="24"/>
              </w:rPr>
              <w:t>redu</w:t>
            </w:r>
            <w:r>
              <w:rPr>
                <w:rFonts w:ascii="Garamond" w:eastAsia="Myriad Pro" w:hAnsi="Garamond" w:cs="Myriad Pro"/>
                <w:color w:val="231F20"/>
                <w:sz w:val="24"/>
                <w:szCs w:val="24"/>
              </w:rPr>
              <w:t>.</w:t>
            </w:r>
          </w:p>
        </w:tc>
      </w:tr>
      <w:tr w:rsidR="00FA36A5" w:rsidRPr="002B253A" w14:paraId="08376F8D" w14:textId="77777777" w:rsidTr="003B0491">
        <w:trPr>
          <w:trHeight w:hRule="exact" w:val="903"/>
        </w:trPr>
        <w:tc>
          <w:tcPr>
            <w:tcW w:w="10485" w:type="dxa"/>
            <w:gridSpan w:val="2"/>
            <w:tcBorders>
              <w:top w:val="single" w:sz="6" w:space="0" w:color="231F20"/>
              <w:bottom w:val="single" w:sz="6" w:space="0" w:color="231F20"/>
            </w:tcBorders>
            <w:shd w:val="clear" w:color="auto" w:fill="D5DCE4" w:themeFill="text2" w:themeFillTint="33"/>
          </w:tcPr>
          <w:p w14:paraId="07093B5F" w14:textId="77777777" w:rsidR="00FA36A5" w:rsidRPr="002B253A" w:rsidRDefault="00FA36A5" w:rsidP="003B0491">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FA36A5" w:rsidRPr="002B253A" w14:paraId="2CFB545B" w14:textId="77777777" w:rsidTr="003B0491">
        <w:trPr>
          <w:trHeight w:hRule="exact" w:val="762"/>
        </w:trPr>
        <w:tc>
          <w:tcPr>
            <w:tcW w:w="10485" w:type="dxa"/>
            <w:gridSpan w:val="2"/>
            <w:tcBorders>
              <w:top w:val="single" w:sz="6" w:space="0" w:color="231F20"/>
              <w:bottom w:val="single" w:sz="6" w:space="0" w:color="231F20"/>
            </w:tcBorders>
            <w:shd w:val="clear" w:color="auto" w:fill="D5DCE4" w:themeFill="text2" w:themeFillTint="33"/>
          </w:tcPr>
          <w:p w14:paraId="51BF2500" w14:textId="77777777" w:rsidR="00FA36A5" w:rsidRPr="002B253A" w:rsidRDefault="00FA36A5" w:rsidP="003B0491">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w:t>
            </w:r>
            <w:r>
              <w:rPr>
                <w:rFonts w:ascii="Garamond" w:eastAsia="Myriad Pro" w:hAnsi="Garamond" w:cs="Myriad Pro"/>
                <w:color w:val="231F20"/>
                <w:sz w:val="24"/>
                <w:szCs w:val="24"/>
              </w:rPr>
              <w:t xml:space="preserve"> </w:t>
            </w:r>
            <w:r w:rsidRPr="002B253A">
              <w:rPr>
                <w:rFonts w:ascii="Garamond" w:eastAsia="Myriad Pro" w:hAnsi="Garamond" w:cs="Myriad Pro"/>
                <w:color w:val="231F20"/>
                <w:sz w:val="24"/>
                <w:szCs w:val="24"/>
              </w:rPr>
              <w:t>Punat putem priloženog obrasca za sudjelovanje u savjetovanju.</w:t>
            </w:r>
          </w:p>
        </w:tc>
      </w:tr>
      <w:tr w:rsidR="00FA36A5" w:rsidRPr="002B253A" w14:paraId="6BBA92CB" w14:textId="77777777" w:rsidTr="003B0491">
        <w:trPr>
          <w:trHeight w:hRule="exact" w:val="1168"/>
        </w:trPr>
        <w:tc>
          <w:tcPr>
            <w:tcW w:w="10485" w:type="dxa"/>
            <w:gridSpan w:val="2"/>
            <w:tcBorders>
              <w:top w:val="single" w:sz="6" w:space="0" w:color="231F20"/>
              <w:bottom w:val="single" w:sz="6" w:space="0" w:color="231F20"/>
            </w:tcBorders>
            <w:shd w:val="clear" w:color="auto" w:fill="D5DCE4" w:themeFill="text2" w:themeFillTint="33"/>
          </w:tcPr>
          <w:p w14:paraId="40DFFB5A" w14:textId="44640BCF" w:rsidR="00FA36A5" w:rsidRPr="002B253A" w:rsidRDefault="00FA36A5" w:rsidP="003B0491">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812E0A">
              <w:rPr>
                <w:rFonts w:ascii="Garamond" w:eastAsia="Myriad Pro" w:hAnsi="Garamond" w:cs="Myriad Pro"/>
                <w:color w:val="231F20"/>
                <w:sz w:val="24"/>
                <w:szCs w:val="24"/>
              </w:rPr>
              <w:t>31</w:t>
            </w:r>
            <w:r>
              <w:rPr>
                <w:rFonts w:ascii="Garamond" w:eastAsia="Myriad Pro" w:hAnsi="Garamond" w:cs="Myriad Pro"/>
                <w:color w:val="231F20"/>
                <w:sz w:val="24"/>
                <w:szCs w:val="24"/>
              </w:rPr>
              <w:t>.</w:t>
            </w:r>
            <w:r w:rsidRPr="002B253A">
              <w:rPr>
                <w:rFonts w:ascii="Garamond" w:eastAsia="Myriad Pro" w:hAnsi="Garamond" w:cs="Myriad Pro"/>
                <w:color w:val="231F20"/>
                <w:sz w:val="24"/>
                <w:szCs w:val="24"/>
              </w:rPr>
              <w:t xml:space="preserve"> </w:t>
            </w:r>
            <w:r w:rsidR="003F33DF">
              <w:rPr>
                <w:rFonts w:ascii="Garamond" w:eastAsia="Myriad Pro" w:hAnsi="Garamond" w:cs="Myriad Pro"/>
                <w:color w:val="231F20"/>
                <w:sz w:val="24"/>
                <w:szCs w:val="24"/>
              </w:rPr>
              <w:t>prosinca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FA36A5" w:rsidRPr="002B253A" w14:paraId="6CD6331C" w14:textId="77777777" w:rsidTr="003B0491">
        <w:trPr>
          <w:trHeight w:hRule="exact" w:val="1414"/>
        </w:trPr>
        <w:tc>
          <w:tcPr>
            <w:tcW w:w="10485" w:type="dxa"/>
            <w:gridSpan w:val="2"/>
            <w:tcBorders>
              <w:top w:val="single" w:sz="6" w:space="0" w:color="231F20"/>
              <w:bottom w:val="single" w:sz="6" w:space="0" w:color="231F20"/>
            </w:tcBorders>
            <w:shd w:val="clear" w:color="auto" w:fill="D5DCE4" w:themeFill="text2" w:themeFillTint="33"/>
          </w:tcPr>
          <w:p w14:paraId="6F9E738C" w14:textId="77777777" w:rsidR="00FA36A5" w:rsidRPr="002B253A" w:rsidRDefault="00FA36A5" w:rsidP="003B0491">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2CC3C12A" w14:textId="77777777" w:rsidR="00FA36A5" w:rsidRPr="002B253A" w:rsidRDefault="00FA36A5" w:rsidP="003B0491">
            <w:pPr>
              <w:spacing w:before="37" w:after="0" w:line="260" w:lineRule="exact"/>
              <w:ind w:left="265" w:right="1094" w:hanging="157"/>
              <w:rPr>
                <w:rFonts w:ascii="Garamond" w:eastAsia="Myriad Pro" w:hAnsi="Garamond" w:cs="Myriad Pro"/>
                <w:sz w:val="24"/>
                <w:szCs w:val="24"/>
              </w:rPr>
            </w:pPr>
          </w:p>
        </w:tc>
      </w:tr>
      <w:tr w:rsidR="00FA36A5" w:rsidRPr="002B253A" w14:paraId="4B75C29C" w14:textId="77777777" w:rsidTr="003B0491">
        <w:trPr>
          <w:trHeight w:hRule="exact" w:val="1434"/>
        </w:trPr>
        <w:tc>
          <w:tcPr>
            <w:tcW w:w="10485" w:type="dxa"/>
            <w:gridSpan w:val="2"/>
            <w:tcBorders>
              <w:top w:val="single" w:sz="6" w:space="0" w:color="231F20"/>
              <w:bottom w:val="single" w:sz="6" w:space="0" w:color="231F20"/>
            </w:tcBorders>
            <w:shd w:val="clear" w:color="auto" w:fill="D5DCE4" w:themeFill="text2" w:themeFillTint="33"/>
          </w:tcPr>
          <w:p w14:paraId="7073A49E"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p w14:paraId="1F7F2D86"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6D022559"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065FC5F7"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233A474F"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0DCE6C7B"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432468CD"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66D54A33"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1F8C7C8B"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6B929731"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71BF2391"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4CC459C0" w14:textId="77777777" w:rsidR="00FA36A5" w:rsidRDefault="00FA36A5" w:rsidP="003B0491">
            <w:pPr>
              <w:spacing w:before="37" w:after="0" w:line="260" w:lineRule="exact"/>
              <w:ind w:left="265" w:right="1050" w:hanging="157"/>
              <w:rPr>
                <w:rFonts w:ascii="Garamond" w:eastAsia="Myriad Pro" w:hAnsi="Garamond" w:cs="Myriad Pro"/>
                <w:color w:val="231F20"/>
                <w:sz w:val="24"/>
                <w:szCs w:val="24"/>
              </w:rPr>
            </w:pPr>
          </w:p>
          <w:p w14:paraId="23B40021" w14:textId="77777777" w:rsidR="00FA36A5" w:rsidRPr="002B253A" w:rsidRDefault="00FA36A5" w:rsidP="003B0491">
            <w:pPr>
              <w:spacing w:before="37" w:after="0" w:line="260" w:lineRule="exact"/>
              <w:ind w:left="265" w:right="1050" w:hanging="157"/>
              <w:rPr>
                <w:rFonts w:ascii="Garamond" w:eastAsia="Myriad Pro" w:hAnsi="Garamond" w:cs="Myriad Pro"/>
                <w:sz w:val="24"/>
                <w:szCs w:val="24"/>
              </w:rPr>
            </w:pPr>
          </w:p>
        </w:tc>
      </w:tr>
      <w:tr w:rsidR="00FA36A5" w:rsidRPr="002B253A" w14:paraId="482439C6" w14:textId="77777777" w:rsidTr="003B0491">
        <w:trPr>
          <w:trHeight w:hRule="exact" w:val="1056"/>
        </w:trPr>
        <w:tc>
          <w:tcPr>
            <w:tcW w:w="10485" w:type="dxa"/>
            <w:gridSpan w:val="2"/>
            <w:tcBorders>
              <w:top w:val="single" w:sz="6" w:space="0" w:color="231F20"/>
              <w:bottom w:val="single" w:sz="4" w:space="0" w:color="231F20"/>
            </w:tcBorders>
            <w:shd w:val="clear" w:color="auto" w:fill="D5DCE4" w:themeFill="text2" w:themeFillTint="33"/>
          </w:tcPr>
          <w:p w14:paraId="7FB7C597" w14:textId="77777777" w:rsidR="00FA36A5" w:rsidRPr="002B253A" w:rsidRDefault="00FA36A5" w:rsidP="003B0491">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FA36A5" w:rsidRPr="002B253A" w14:paraId="35C04822" w14:textId="77777777" w:rsidTr="003B0491">
        <w:trPr>
          <w:trHeight w:hRule="exact" w:val="639"/>
        </w:trPr>
        <w:tc>
          <w:tcPr>
            <w:tcW w:w="10485"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30C94DF4" w14:textId="77777777" w:rsidR="00FA36A5" w:rsidRPr="002B253A" w:rsidRDefault="00FA36A5" w:rsidP="003B0491">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2C9C0690" w14:textId="77777777" w:rsidR="00FA36A5" w:rsidRDefault="00FA36A5" w:rsidP="00FA36A5"/>
    <w:p w14:paraId="78B47D5A" w14:textId="77777777" w:rsidR="00FA36A5" w:rsidRDefault="00FA36A5" w:rsidP="00FA36A5"/>
    <w:p w14:paraId="3F39EAFE" w14:textId="77777777" w:rsidR="00FA36A5" w:rsidRDefault="00FA36A5" w:rsidP="00FA36A5"/>
    <w:p w14:paraId="3CD3DDC4" w14:textId="77777777" w:rsidR="00E26DAB" w:rsidRDefault="00C53A16"/>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0F63" w14:textId="77777777" w:rsidR="00C53A16" w:rsidRDefault="00C53A16">
      <w:pPr>
        <w:spacing w:after="0" w:line="240" w:lineRule="auto"/>
      </w:pPr>
      <w:r>
        <w:separator/>
      </w:r>
    </w:p>
  </w:endnote>
  <w:endnote w:type="continuationSeparator" w:id="0">
    <w:p w14:paraId="6F534AE0" w14:textId="77777777" w:rsidR="00C53A16" w:rsidRDefault="00C5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20C5" w14:textId="77777777" w:rsidR="001D7128" w:rsidRDefault="006245EA">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54E94FF1" wp14:editId="15ACA91E">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F182" w14:textId="77777777" w:rsidR="001D7128" w:rsidRDefault="00C53A16">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94FF1"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2BF8F182" w14:textId="77777777" w:rsidR="001D7128" w:rsidRDefault="006245EA">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F2E3" w14:textId="77777777" w:rsidR="00C53A16" w:rsidRDefault="00C53A16">
      <w:pPr>
        <w:spacing w:after="0" w:line="240" w:lineRule="auto"/>
      </w:pPr>
      <w:r>
        <w:separator/>
      </w:r>
    </w:p>
  </w:footnote>
  <w:footnote w:type="continuationSeparator" w:id="0">
    <w:p w14:paraId="6AC06C47" w14:textId="77777777" w:rsidR="00C53A16" w:rsidRDefault="00C5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A5"/>
    <w:rsid w:val="0010378C"/>
    <w:rsid w:val="003E3018"/>
    <w:rsid w:val="003F33DF"/>
    <w:rsid w:val="0044308D"/>
    <w:rsid w:val="005F018A"/>
    <w:rsid w:val="006245EA"/>
    <w:rsid w:val="006C687D"/>
    <w:rsid w:val="00812E0A"/>
    <w:rsid w:val="008C19C8"/>
    <w:rsid w:val="00B41DE1"/>
    <w:rsid w:val="00C53A16"/>
    <w:rsid w:val="00FA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21A2"/>
  <w15:chartTrackingRefBased/>
  <w15:docId w15:val="{DCD8C10F-1AF4-4652-B58E-FB6116A3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A5"/>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4</cp:revision>
  <dcterms:created xsi:type="dcterms:W3CDTF">2023-11-06T10:20:00Z</dcterms:created>
  <dcterms:modified xsi:type="dcterms:W3CDTF">2023-12-13T07:54:00Z</dcterms:modified>
</cp:coreProperties>
</file>