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A7" w:rsidRDefault="005C6FA7">
      <w:pPr>
        <w:spacing w:before="2" w:after="0" w:line="160" w:lineRule="exact"/>
        <w:rPr>
          <w:rFonts w:ascii="Garamond" w:hAnsi="Garamond"/>
          <w:sz w:val="24"/>
          <w:szCs w:val="24"/>
        </w:rPr>
      </w:pPr>
      <w:bookmarkStart w:id="0" w:name="_GoBack"/>
      <w:bookmarkEnd w:id="0"/>
    </w:p>
    <w:tbl>
      <w:tblPr>
        <w:tblW w:w="9634" w:type="dxa"/>
        <w:tblLayout w:type="fixed"/>
        <w:tblCellMar>
          <w:left w:w="10" w:type="dxa"/>
          <w:right w:w="10" w:type="dxa"/>
        </w:tblCellMar>
        <w:tblLook w:val="0000" w:firstRow="0" w:lastRow="0" w:firstColumn="0" w:lastColumn="0" w:noHBand="0" w:noVBand="0"/>
      </w:tblPr>
      <w:tblGrid>
        <w:gridCol w:w="2405"/>
        <w:gridCol w:w="7229"/>
      </w:tblGrid>
      <w:tr w:rsidR="005C6FA7">
        <w:tblPrEx>
          <w:tblCellMar>
            <w:top w:w="0" w:type="dxa"/>
            <w:bottom w:w="0" w:type="dxa"/>
          </w:tblCellMar>
        </w:tblPrEx>
        <w:trPr>
          <w:trHeight w:val="609"/>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0" w:type="dxa"/>
              <w:bottom w:w="0" w:type="dxa"/>
              <w:right w:w="0" w:type="dxa"/>
            </w:tcMar>
          </w:tcPr>
          <w:p w:rsidR="005C6FA7" w:rsidRDefault="005C6FA7">
            <w:pPr>
              <w:spacing w:before="3" w:after="0" w:line="140" w:lineRule="exact"/>
              <w:ind w:right="-432"/>
              <w:rPr>
                <w:rFonts w:ascii="Garamond" w:hAnsi="Garamond"/>
                <w:sz w:val="24"/>
                <w:szCs w:val="24"/>
              </w:rPr>
            </w:pPr>
          </w:p>
          <w:p w:rsidR="005C6FA7" w:rsidRDefault="00BB6310">
            <w:pPr>
              <w:spacing w:after="0" w:line="240" w:lineRule="auto"/>
              <w:ind w:left="39" w:right="-20"/>
              <w:jc w:val="center"/>
            </w:pPr>
            <w:r>
              <w:rPr>
                <w:rFonts w:ascii="Garamond" w:eastAsia="Myriad Pro" w:hAnsi="Garamond" w:cs="Myriad Pro"/>
                <w:b/>
                <w:bCs/>
                <w:color w:val="FFFFFF"/>
                <w:sz w:val="24"/>
                <w:szCs w:val="24"/>
              </w:rPr>
              <w:t>OB</w:t>
            </w:r>
            <w:r>
              <w:rPr>
                <w:rFonts w:ascii="Garamond" w:eastAsia="Myriad Pro" w:hAnsi="Garamond" w:cs="Myriad Pro"/>
                <w:b/>
                <w:bCs/>
                <w:color w:val="FFFFFF"/>
                <w:spacing w:val="2"/>
                <w:sz w:val="24"/>
                <w:szCs w:val="24"/>
              </w:rPr>
              <w:t>R</w:t>
            </w:r>
            <w:r>
              <w:rPr>
                <w:rFonts w:ascii="Garamond" w:eastAsia="Myriad Pro" w:hAnsi="Garamond" w:cs="Myriad Pro"/>
                <w:b/>
                <w:bCs/>
                <w:color w:val="FFFFFF"/>
                <w:spacing w:val="1"/>
                <w:sz w:val="24"/>
                <w:szCs w:val="24"/>
              </w:rPr>
              <w:t>A</w:t>
            </w:r>
            <w:r>
              <w:rPr>
                <w:rFonts w:ascii="Garamond" w:eastAsia="Myriad Pro" w:hAnsi="Garamond" w:cs="Myriad Pro"/>
                <w:b/>
                <w:bCs/>
                <w:color w:val="FFFFFF"/>
                <w:spacing w:val="2"/>
                <w:sz w:val="24"/>
                <w:szCs w:val="24"/>
              </w:rPr>
              <w:t>Z</w:t>
            </w:r>
            <w:r>
              <w:rPr>
                <w:rFonts w:ascii="Garamond" w:eastAsia="Myriad Pro" w:hAnsi="Garamond" w:cs="Myriad Pro"/>
                <w:b/>
                <w:bCs/>
                <w:color w:val="FFFFFF"/>
                <w:spacing w:val="-5"/>
                <w:sz w:val="24"/>
                <w:szCs w:val="24"/>
              </w:rPr>
              <w:t>A</w:t>
            </w:r>
            <w:r>
              <w:rPr>
                <w:rFonts w:ascii="Garamond" w:eastAsia="Myriad Pro" w:hAnsi="Garamond" w:cs="Myriad Pro"/>
                <w:b/>
                <w:bCs/>
                <w:color w:val="FFFFFF"/>
                <w:sz w:val="24"/>
                <w:szCs w:val="24"/>
              </w:rPr>
              <w:t>C SADR</w:t>
            </w:r>
            <w:r>
              <w:rPr>
                <w:rFonts w:ascii="Garamond" w:eastAsia="Myriad Pro" w:hAnsi="Garamond" w:cs="Myriad Pro"/>
                <w:b/>
                <w:bCs/>
                <w:color w:val="FFFFFF"/>
                <w:spacing w:val="2"/>
                <w:sz w:val="24"/>
                <w:szCs w:val="24"/>
              </w:rPr>
              <w:t>Ž</w:t>
            </w:r>
            <w:r>
              <w:rPr>
                <w:rFonts w:ascii="Garamond" w:eastAsia="Myriad Pro" w:hAnsi="Garamond" w:cs="Myriad Pro"/>
                <w:b/>
                <w:bCs/>
                <w:color w:val="FFFFFF"/>
                <w:spacing w:val="3"/>
                <w:sz w:val="24"/>
                <w:szCs w:val="24"/>
              </w:rPr>
              <w:t>A</w:t>
            </w:r>
            <w:r>
              <w:rPr>
                <w:rFonts w:ascii="Garamond" w:eastAsia="Myriad Pro" w:hAnsi="Garamond" w:cs="Myriad Pro"/>
                <w:b/>
                <w:bCs/>
                <w:color w:val="FFFFFF"/>
                <w:sz w:val="24"/>
                <w:szCs w:val="24"/>
              </w:rPr>
              <w:t>JA DOKUMEN</w:t>
            </w:r>
            <w:r>
              <w:rPr>
                <w:rFonts w:ascii="Garamond" w:eastAsia="Myriad Pro" w:hAnsi="Garamond" w:cs="Myriad Pro"/>
                <w:b/>
                <w:bCs/>
                <w:color w:val="FFFFFF"/>
                <w:spacing w:val="-16"/>
                <w:sz w:val="24"/>
                <w:szCs w:val="24"/>
              </w:rPr>
              <w:t>T</w:t>
            </w:r>
            <w:r>
              <w:rPr>
                <w:rFonts w:ascii="Garamond" w:eastAsia="Myriad Pro" w:hAnsi="Garamond" w:cs="Myriad Pro"/>
                <w:b/>
                <w:bCs/>
                <w:color w:val="FFFFFF"/>
                <w:sz w:val="24"/>
                <w:szCs w:val="24"/>
              </w:rPr>
              <w:t xml:space="preserve">A </w:t>
            </w:r>
            <w:r>
              <w:rPr>
                <w:rFonts w:ascii="Garamond" w:eastAsia="Myriad Pro" w:hAnsi="Garamond" w:cs="Myriad Pro"/>
                <w:b/>
                <w:bCs/>
                <w:color w:val="FFFFFF"/>
                <w:spacing w:val="2"/>
                <w:sz w:val="24"/>
                <w:szCs w:val="24"/>
              </w:rPr>
              <w:t>Z</w:t>
            </w:r>
            <w:r>
              <w:rPr>
                <w:rFonts w:ascii="Garamond" w:eastAsia="Myriad Pro" w:hAnsi="Garamond" w:cs="Myriad Pro"/>
                <w:b/>
                <w:bCs/>
                <w:color w:val="FFFFFF"/>
                <w:sz w:val="24"/>
                <w:szCs w:val="24"/>
              </w:rPr>
              <w:t>A S</w:t>
            </w:r>
            <w:r>
              <w:rPr>
                <w:rFonts w:ascii="Garamond" w:eastAsia="Myriad Pro" w:hAnsi="Garamond" w:cs="Myriad Pro"/>
                <w:b/>
                <w:bCs/>
                <w:color w:val="FFFFFF"/>
                <w:spacing w:val="-13"/>
                <w:sz w:val="24"/>
                <w:szCs w:val="24"/>
              </w:rPr>
              <w:t>A</w:t>
            </w:r>
            <w:r>
              <w:rPr>
                <w:rFonts w:ascii="Garamond" w:eastAsia="Myriad Pro" w:hAnsi="Garamond" w:cs="Myriad Pro"/>
                <w:b/>
                <w:bCs/>
                <w:color w:val="FFFFFF"/>
                <w:spacing w:val="-9"/>
                <w:sz w:val="24"/>
                <w:szCs w:val="24"/>
              </w:rPr>
              <w:t>V</w:t>
            </w:r>
            <w:r>
              <w:rPr>
                <w:rFonts w:ascii="Garamond" w:eastAsia="Myriad Pro" w:hAnsi="Garamond" w:cs="Myriad Pro"/>
                <w:b/>
                <w:bCs/>
                <w:color w:val="FFFFFF"/>
                <w:sz w:val="24"/>
                <w:szCs w:val="24"/>
              </w:rPr>
              <w:t>JE</w:t>
            </w:r>
            <w:r>
              <w:rPr>
                <w:rFonts w:ascii="Garamond" w:eastAsia="Myriad Pro" w:hAnsi="Garamond" w:cs="Myriad Pro"/>
                <w:b/>
                <w:bCs/>
                <w:color w:val="FFFFFF"/>
                <w:spacing w:val="-6"/>
                <w:sz w:val="24"/>
                <w:szCs w:val="24"/>
              </w:rPr>
              <w:t>T</w:t>
            </w:r>
            <w:r>
              <w:rPr>
                <w:rFonts w:ascii="Garamond" w:eastAsia="Myriad Pro" w:hAnsi="Garamond" w:cs="Myriad Pro"/>
                <w:b/>
                <w:bCs/>
                <w:color w:val="FFFFFF"/>
                <w:spacing w:val="-2"/>
                <w:sz w:val="24"/>
                <w:szCs w:val="24"/>
              </w:rPr>
              <w:t>O</w:t>
            </w:r>
            <w:r>
              <w:rPr>
                <w:rFonts w:ascii="Garamond" w:eastAsia="Myriad Pro" w:hAnsi="Garamond" w:cs="Myriad Pro"/>
                <w:b/>
                <w:bCs/>
                <w:color w:val="FFFFFF"/>
                <w:spacing w:val="-12"/>
                <w:sz w:val="24"/>
                <w:szCs w:val="24"/>
              </w:rPr>
              <w:t>V</w:t>
            </w:r>
            <w:r>
              <w:rPr>
                <w:rFonts w:ascii="Garamond" w:eastAsia="Myriad Pro" w:hAnsi="Garamond" w:cs="Myriad Pro"/>
                <w:b/>
                <w:bCs/>
                <w:color w:val="FFFFFF"/>
                <w:sz w:val="24"/>
                <w:szCs w:val="24"/>
              </w:rPr>
              <w:t>ANJE</w:t>
            </w:r>
          </w:p>
        </w:tc>
      </w:tr>
      <w:tr w:rsidR="005C6FA7">
        <w:tblPrEx>
          <w:tblCellMar>
            <w:top w:w="0" w:type="dxa"/>
            <w:bottom w:w="0" w:type="dxa"/>
          </w:tblCellMar>
        </w:tblPrEx>
        <w:trPr>
          <w:trHeight w:hRule="exact" w:val="1230"/>
        </w:trPr>
        <w:tc>
          <w:tcPr>
            <w:tcW w:w="2405" w:type="dxa"/>
            <w:tcBorders>
              <w:top w:val="single" w:sz="4" w:space="0" w:color="000000"/>
              <w:left w:val="single" w:sz="4" w:space="0" w:color="231F20"/>
              <w:bottom w:val="single" w:sz="6" w:space="0" w:color="231F20"/>
              <w:right w:val="single" w:sz="6" w:space="0" w:color="231F20"/>
            </w:tcBorders>
            <w:shd w:val="clear" w:color="auto" w:fill="D5DCE4"/>
            <w:tcMar>
              <w:top w:w="0" w:type="dxa"/>
              <w:left w:w="0" w:type="dxa"/>
              <w:bottom w:w="0" w:type="dxa"/>
              <w:right w:w="0" w:type="dxa"/>
            </w:tcMar>
          </w:tcPr>
          <w:p w:rsidR="005C6FA7" w:rsidRDefault="005C6FA7">
            <w:pPr>
              <w:spacing w:after="0" w:line="200" w:lineRule="exact"/>
              <w:rPr>
                <w:rFonts w:ascii="Garamond" w:hAnsi="Garamond"/>
                <w:sz w:val="24"/>
                <w:szCs w:val="24"/>
              </w:rPr>
            </w:pPr>
          </w:p>
          <w:p w:rsidR="005C6FA7" w:rsidRDefault="005C6FA7">
            <w:pPr>
              <w:spacing w:before="1" w:after="0" w:line="240" w:lineRule="exact"/>
              <w:rPr>
                <w:rFonts w:ascii="Garamond" w:hAnsi="Garamond"/>
                <w:sz w:val="24"/>
                <w:szCs w:val="24"/>
              </w:rPr>
            </w:pPr>
          </w:p>
          <w:p w:rsidR="005C6FA7" w:rsidRDefault="00BB6310">
            <w:pPr>
              <w:spacing w:after="0" w:line="240" w:lineRule="auto"/>
              <w:ind w:left="108" w:right="-20"/>
            </w:pPr>
            <w:r>
              <w:rPr>
                <w:rFonts w:ascii="Garamond" w:eastAsia="Myriad Pro" w:hAnsi="Garamond" w:cs="Myriad Pro"/>
                <w:color w:val="231F20"/>
                <w:sz w:val="24"/>
                <w:szCs w:val="24"/>
              </w:rPr>
              <w:t>Nasl</w:t>
            </w:r>
            <w:r>
              <w:rPr>
                <w:rFonts w:ascii="Garamond" w:eastAsia="Myriad Pro" w:hAnsi="Garamond" w:cs="Myriad Pro"/>
                <w:color w:val="231F20"/>
                <w:spacing w:val="-2"/>
                <w:sz w:val="24"/>
                <w:szCs w:val="24"/>
              </w:rPr>
              <w:t>o</w:t>
            </w:r>
            <w:r>
              <w:rPr>
                <w:rFonts w:ascii="Garamond" w:eastAsia="Myriad Pro" w:hAnsi="Garamond" w:cs="Myriad Pro"/>
                <w:color w:val="231F20"/>
                <w:sz w:val="24"/>
                <w:szCs w:val="24"/>
              </w:rPr>
              <w:t>v dokumenta</w:t>
            </w:r>
          </w:p>
        </w:tc>
        <w:tc>
          <w:tcPr>
            <w:tcW w:w="7229" w:type="dxa"/>
            <w:tcBorders>
              <w:top w:val="single" w:sz="4" w:space="0" w:color="000000"/>
              <w:left w:val="single" w:sz="6"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5C6FA7">
            <w:pPr>
              <w:spacing w:after="0" w:line="240" w:lineRule="auto"/>
              <w:ind w:right="-20"/>
              <w:rPr>
                <w:rFonts w:ascii="Garamond" w:eastAsia="Myriad Pro" w:hAnsi="Garamond" w:cs="Myriad Pro"/>
                <w:color w:val="231F20"/>
                <w:sz w:val="24"/>
                <w:szCs w:val="24"/>
              </w:rPr>
            </w:pPr>
          </w:p>
          <w:p w:rsidR="005C6FA7" w:rsidRDefault="00BB6310">
            <w:pPr>
              <w:spacing w:after="0" w:line="240" w:lineRule="auto"/>
              <w:ind w:right="-20"/>
            </w:pPr>
            <w:r>
              <w:rPr>
                <w:rFonts w:ascii="Garamond" w:eastAsia="Myriad Pro" w:hAnsi="Garamond" w:cs="Myriad Pro"/>
                <w:color w:val="231F20"/>
                <w:sz w:val="24"/>
                <w:szCs w:val="24"/>
              </w:rPr>
              <w:t xml:space="preserve"> Odluka o načinu pružanja javne usluge sakupljanja komunalnog otpada na području Općine Punat</w:t>
            </w:r>
          </w:p>
          <w:p w:rsidR="005C6FA7" w:rsidRDefault="005C6FA7">
            <w:pPr>
              <w:spacing w:after="0" w:line="240" w:lineRule="auto"/>
              <w:ind w:right="-20"/>
              <w:rPr>
                <w:rFonts w:ascii="Garamond" w:eastAsia="Myriad Pro" w:hAnsi="Garamond" w:cs="Myriad Pro"/>
                <w:sz w:val="24"/>
                <w:szCs w:val="24"/>
              </w:rPr>
            </w:pPr>
          </w:p>
        </w:tc>
      </w:tr>
      <w:tr w:rsidR="005C6FA7">
        <w:tblPrEx>
          <w:tblCellMar>
            <w:top w:w="0" w:type="dxa"/>
            <w:bottom w:w="0" w:type="dxa"/>
          </w:tblCellMar>
        </w:tblPrEx>
        <w:trPr>
          <w:trHeight w:hRule="exact" w:val="919"/>
        </w:trPr>
        <w:tc>
          <w:tcPr>
            <w:tcW w:w="2405" w:type="dxa"/>
            <w:tcBorders>
              <w:top w:val="single" w:sz="6" w:space="0" w:color="231F20"/>
              <w:left w:val="single" w:sz="4" w:space="0" w:color="231F20"/>
              <w:bottom w:val="single" w:sz="6" w:space="0" w:color="231F20"/>
              <w:right w:val="single" w:sz="6" w:space="0" w:color="231F20"/>
            </w:tcBorders>
            <w:shd w:val="clear" w:color="auto" w:fill="D5DCE4"/>
            <w:tcMar>
              <w:top w:w="0" w:type="dxa"/>
              <w:left w:w="0" w:type="dxa"/>
              <w:bottom w:w="0" w:type="dxa"/>
              <w:right w:w="0" w:type="dxa"/>
            </w:tcMar>
          </w:tcPr>
          <w:p w:rsidR="005C6FA7" w:rsidRDefault="00BB6310">
            <w:pPr>
              <w:spacing w:before="37" w:after="0" w:line="260" w:lineRule="exact"/>
              <w:ind w:left="108" w:right="407"/>
            </w:pPr>
            <w:r>
              <w:rPr>
                <w:rFonts w:ascii="Garamond" w:eastAsia="Myriad Pro" w:hAnsi="Garamond" w:cs="Myriad Pro"/>
                <w:color w:val="231F20"/>
                <w:sz w:val="24"/>
                <w:szCs w:val="24"/>
              </w:rPr>
              <w:t>S</w:t>
            </w:r>
            <w:r>
              <w:rPr>
                <w:rFonts w:ascii="Garamond" w:eastAsia="Myriad Pro" w:hAnsi="Garamond" w:cs="Myriad Pro"/>
                <w:color w:val="231F20"/>
                <w:spacing w:val="2"/>
                <w:sz w:val="24"/>
                <w:szCs w:val="24"/>
              </w:rPr>
              <w:t>t</w:t>
            </w:r>
            <w:r>
              <w:rPr>
                <w:rFonts w:ascii="Garamond" w:eastAsia="Myriad Pro" w:hAnsi="Garamond" w:cs="Myriad Pro"/>
                <w:color w:val="231F20"/>
                <w:sz w:val="24"/>
                <w:szCs w:val="24"/>
              </w:rPr>
              <w:t>vara</w:t>
            </w:r>
            <w:r>
              <w:rPr>
                <w:rFonts w:ascii="Garamond" w:eastAsia="Myriad Pro" w:hAnsi="Garamond" w:cs="Myriad Pro"/>
                <w:color w:val="231F20"/>
                <w:spacing w:val="-1"/>
                <w:sz w:val="24"/>
                <w:szCs w:val="24"/>
              </w:rPr>
              <w:t>t</w:t>
            </w:r>
            <w:r>
              <w:rPr>
                <w:rFonts w:ascii="Garamond" w:eastAsia="Myriad Pro" w:hAnsi="Garamond" w:cs="Myriad Pro"/>
                <w:color w:val="231F20"/>
                <w:sz w:val="24"/>
                <w:szCs w:val="24"/>
              </w:rPr>
              <w:t xml:space="preserve">elj dokumenta, </w:t>
            </w:r>
            <w:r>
              <w:rPr>
                <w:rFonts w:ascii="Garamond" w:eastAsia="Myriad Pro" w:hAnsi="Garamond" w:cs="Myriad Pro"/>
                <w:color w:val="231F20"/>
                <w:sz w:val="24"/>
                <w:szCs w:val="24"/>
              </w:rPr>
              <w:t>tijelo koje p</w:t>
            </w:r>
            <w:r>
              <w:rPr>
                <w:rFonts w:ascii="Garamond" w:eastAsia="Myriad Pro" w:hAnsi="Garamond" w:cs="Myriad Pro"/>
                <w:color w:val="231F20"/>
                <w:spacing w:val="-2"/>
                <w:sz w:val="24"/>
                <w:szCs w:val="24"/>
              </w:rPr>
              <w:t>rov</w:t>
            </w:r>
            <w:r>
              <w:rPr>
                <w:rFonts w:ascii="Garamond" w:eastAsia="Myriad Pro" w:hAnsi="Garamond" w:cs="Myriad Pro"/>
                <w:color w:val="231F20"/>
                <w:sz w:val="24"/>
                <w:szCs w:val="24"/>
              </w:rPr>
              <w:t>odi s</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vje</w:t>
            </w:r>
            <w:r>
              <w:rPr>
                <w:rFonts w:ascii="Garamond" w:eastAsia="Myriad Pro" w:hAnsi="Garamond" w:cs="Myriad Pro"/>
                <w:color w:val="231F20"/>
                <w:spacing w:val="-1"/>
                <w:sz w:val="24"/>
                <w:szCs w:val="24"/>
              </w:rPr>
              <w:t>t</w:t>
            </w:r>
            <w:r>
              <w:rPr>
                <w:rFonts w:ascii="Garamond" w:eastAsia="Myriad Pro" w:hAnsi="Garamond" w:cs="Myriad Pro"/>
                <w:color w:val="231F20"/>
                <w:spacing w:val="-2"/>
                <w:sz w:val="24"/>
                <w:szCs w:val="24"/>
              </w:rPr>
              <w:t>o</w:t>
            </w:r>
            <w:r>
              <w:rPr>
                <w:rFonts w:ascii="Garamond" w:eastAsia="Myriad Pro" w:hAnsi="Garamond" w:cs="Myriad Pro"/>
                <w:color w:val="231F20"/>
                <w:spacing w:val="-1"/>
                <w:sz w:val="24"/>
                <w:szCs w:val="24"/>
              </w:rPr>
              <w:t>v</w:t>
            </w:r>
            <w:r>
              <w:rPr>
                <w:rFonts w:ascii="Garamond" w:eastAsia="Myriad Pro" w:hAnsi="Garamond" w:cs="Myriad Pro"/>
                <w:color w:val="231F20"/>
                <w:sz w:val="24"/>
                <w:szCs w:val="24"/>
              </w:rPr>
              <w:t>anje</w:t>
            </w:r>
          </w:p>
        </w:tc>
        <w:tc>
          <w:tcPr>
            <w:tcW w:w="7229" w:type="dxa"/>
            <w:tcBorders>
              <w:top w:val="single" w:sz="6" w:space="0" w:color="231F20"/>
              <w:left w:val="single" w:sz="6"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5C6FA7">
            <w:pPr>
              <w:spacing w:before="16" w:after="0" w:line="280" w:lineRule="exact"/>
              <w:rPr>
                <w:rFonts w:ascii="Garamond" w:hAnsi="Garamond"/>
                <w:sz w:val="24"/>
                <w:szCs w:val="24"/>
              </w:rPr>
            </w:pPr>
          </w:p>
          <w:p w:rsidR="005C6FA7" w:rsidRDefault="00BB6310">
            <w:pPr>
              <w:spacing w:after="0" w:line="240" w:lineRule="auto"/>
              <w:ind w:right="-20"/>
            </w:pPr>
            <w:r>
              <w:rPr>
                <w:rFonts w:ascii="Garamond" w:eastAsia="Myriad Pro" w:hAnsi="Garamond" w:cs="Myriad Pro"/>
                <w:color w:val="231F20"/>
                <w:spacing w:val="-3"/>
                <w:sz w:val="24"/>
                <w:szCs w:val="24"/>
              </w:rPr>
              <w:t xml:space="preserve"> Općina Punat</w:t>
            </w:r>
          </w:p>
        </w:tc>
      </w:tr>
      <w:tr w:rsidR="005C6FA7">
        <w:tblPrEx>
          <w:tblCellMar>
            <w:top w:w="0" w:type="dxa"/>
            <w:bottom w:w="0" w:type="dxa"/>
          </w:tblCellMar>
        </w:tblPrEx>
        <w:trPr>
          <w:trHeight w:hRule="exact" w:val="2565"/>
        </w:trPr>
        <w:tc>
          <w:tcPr>
            <w:tcW w:w="2405" w:type="dxa"/>
            <w:tcBorders>
              <w:top w:val="single" w:sz="6" w:space="0" w:color="231F20"/>
              <w:left w:val="single" w:sz="4" w:space="0" w:color="231F20"/>
              <w:bottom w:val="single" w:sz="6" w:space="0" w:color="231F20"/>
              <w:right w:val="single" w:sz="6" w:space="0" w:color="231F20"/>
            </w:tcBorders>
            <w:shd w:val="clear" w:color="auto" w:fill="D5DCE4"/>
            <w:tcMar>
              <w:top w:w="0" w:type="dxa"/>
              <w:left w:w="0" w:type="dxa"/>
              <w:bottom w:w="0" w:type="dxa"/>
              <w:right w:w="0" w:type="dxa"/>
            </w:tcMar>
          </w:tcPr>
          <w:p w:rsidR="005C6FA7" w:rsidRDefault="00BB6310">
            <w:pPr>
              <w:spacing w:before="35" w:after="0" w:line="240" w:lineRule="auto"/>
              <w:ind w:left="108" w:right="-20"/>
            </w:pPr>
            <w:r>
              <w:rPr>
                <w:rFonts w:ascii="Garamond" w:eastAsia="Myriad Pro" w:hAnsi="Garamond" w:cs="Myriad Pro"/>
                <w:color w:val="231F20"/>
                <w:spacing w:val="-2"/>
                <w:sz w:val="24"/>
                <w:szCs w:val="24"/>
              </w:rPr>
              <w:t>S</w:t>
            </w:r>
            <w:r>
              <w:rPr>
                <w:rFonts w:ascii="Garamond" w:eastAsia="Myriad Pro" w:hAnsi="Garamond" w:cs="Myriad Pro"/>
                <w:color w:val="231F20"/>
                <w:sz w:val="24"/>
                <w:szCs w:val="24"/>
              </w:rPr>
              <w:t>vrha dokumenta</w:t>
            </w:r>
          </w:p>
        </w:tc>
        <w:tc>
          <w:tcPr>
            <w:tcW w:w="7229" w:type="dxa"/>
            <w:tcBorders>
              <w:top w:val="single" w:sz="6" w:space="0" w:color="231F20"/>
              <w:left w:val="single" w:sz="6"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BB6310">
            <w:pPr>
              <w:spacing w:after="0" w:line="240" w:lineRule="auto"/>
              <w:ind w:right="-20"/>
            </w:pPr>
            <w:r>
              <w:rPr>
                <w:rFonts w:ascii="Garamond" w:eastAsia="Myriad Pro" w:hAnsi="Garamond" w:cs="Myriad Pro"/>
                <w:sz w:val="24"/>
                <w:szCs w:val="24"/>
              </w:rPr>
              <w:t xml:space="preserve">Odluka o </w:t>
            </w:r>
            <w:r>
              <w:rPr>
                <w:rFonts w:ascii="Garamond" w:eastAsia="Myriad Pro" w:hAnsi="Garamond" w:cs="Myriad Pro"/>
                <w:color w:val="231F20"/>
                <w:sz w:val="24"/>
                <w:szCs w:val="24"/>
              </w:rPr>
              <w:t xml:space="preserve"> načinu pružanja javne usluge sakupljanja komunalnog otpada na području Općine Punat donosi se sukladno novom Zakonu o gospodarenju otpadom („Narodne novine“ broj 84/21) koji je </w:t>
            </w:r>
            <w:r>
              <w:rPr>
                <w:rFonts w:ascii="Garamond" w:eastAsia="Myriad Pro" w:hAnsi="Garamond" w:cs="Myriad Pro"/>
                <w:color w:val="231F20"/>
                <w:sz w:val="24"/>
                <w:szCs w:val="24"/>
              </w:rPr>
              <w:t>stupio na snagu dana 31. srpnja 2021. godine.</w:t>
            </w:r>
          </w:p>
          <w:p w:rsidR="005C6FA7" w:rsidRDefault="00BB6310">
            <w:pPr>
              <w:spacing w:before="35" w:after="0" w:line="240" w:lineRule="auto"/>
              <w:ind w:right="-20"/>
            </w:pPr>
            <w:r>
              <w:rPr>
                <w:rFonts w:ascii="Garamond" w:hAnsi="Garamond"/>
                <w:sz w:val="24"/>
                <w:szCs w:val="24"/>
              </w:rPr>
              <w:t>Predstavničko tijelo Općine Punat dužno je donijeti Odluku o načinu pružanja javne usluge sakupljanja komunalnog otpada u roku od šest mjeseci od dana stupanja snagu Zakona, odnosno najkasnije do 31. siječnja 2</w:t>
            </w:r>
            <w:r>
              <w:rPr>
                <w:rFonts w:ascii="Garamond" w:hAnsi="Garamond"/>
                <w:sz w:val="24"/>
                <w:szCs w:val="24"/>
              </w:rPr>
              <w:t>022. godine.</w:t>
            </w:r>
          </w:p>
        </w:tc>
      </w:tr>
      <w:tr w:rsidR="005C6FA7">
        <w:tblPrEx>
          <w:tblCellMar>
            <w:top w:w="0" w:type="dxa"/>
            <w:bottom w:w="0" w:type="dxa"/>
          </w:tblCellMar>
        </w:tblPrEx>
        <w:trPr>
          <w:trHeight w:hRule="exact" w:val="360"/>
        </w:trPr>
        <w:tc>
          <w:tcPr>
            <w:tcW w:w="2405" w:type="dxa"/>
            <w:tcBorders>
              <w:top w:val="single" w:sz="6" w:space="0" w:color="231F20"/>
              <w:left w:val="single" w:sz="4" w:space="0" w:color="231F20"/>
              <w:bottom w:val="single" w:sz="6" w:space="0" w:color="231F20"/>
              <w:right w:val="single" w:sz="6" w:space="0" w:color="231F20"/>
            </w:tcBorders>
            <w:shd w:val="clear" w:color="auto" w:fill="D5DCE4"/>
            <w:tcMar>
              <w:top w:w="0" w:type="dxa"/>
              <w:left w:w="0" w:type="dxa"/>
              <w:bottom w:w="0" w:type="dxa"/>
              <w:right w:w="0" w:type="dxa"/>
            </w:tcMar>
          </w:tcPr>
          <w:p w:rsidR="005C6FA7" w:rsidRDefault="00BB6310">
            <w:pPr>
              <w:spacing w:before="35" w:after="0" w:line="240" w:lineRule="auto"/>
              <w:ind w:left="108" w:right="-20"/>
            </w:pPr>
            <w:r>
              <w:rPr>
                <w:rFonts w:ascii="Garamond" w:eastAsia="Myriad Pro" w:hAnsi="Garamond" w:cs="Myriad Pro"/>
                <w:color w:val="231F20"/>
                <w:sz w:val="24"/>
                <w:szCs w:val="24"/>
              </w:rPr>
              <w:t>Datum dokumenta</w:t>
            </w:r>
          </w:p>
        </w:tc>
        <w:tc>
          <w:tcPr>
            <w:tcW w:w="7229" w:type="dxa"/>
            <w:tcBorders>
              <w:top w:val="single" w:sz="6" w:space="0" w:color="231F20"/>
              <w:left w:val="single" w:sz="6"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BB6310">
            <w:pPr>
              <w:spacing w:before="35" w:after="0" w:line="240" w:lineRule="auto"/>
              <w:ind w:left="165" w:right="-20"/>
            </w:pPr>
            <w:r>
              <w:rPr>
                <w:rFonts w:ascii="Garamond" w:eastAsia="Myriad Pro" w:hAnsi="Garamond" w:cs="Myriad Pro"/>
                <w:color w:val="231F20"/>
                <w:sz w:val="24"/>
                <w:szCs w:val="24"/>
              </w:rPr>
              <w:t>10. prosinca 2021. godine</w:t>
            </w:r>
          </w:p>
        </w:tc>
      </w:tr>
      <w:tr w:rsidR="005C6FA7">
        <w:tblPrEx>
          <w:tblCellMar>
            <w:top w:w="0" w:type="dxa"/>
            <w:bottom w:w="0" w:type="dxa"/>
          </w:tblCellMar>
        </w:tblPrEx>
        <w:trPr>
          <w:trHeight w:val="708"/>
        </w:trPr>
        <w:tc>
          <w:tcPr>
            <w:tcW w:w="9634" w:type="dxa"/>
            <w:gridSpan w:val="2"/>
            <w:tcBorders>
              <w:top w:val="single" w:sz="6" w:space="0" w:color="231F20"/>
              <w:left w:val="single" w:sz="4"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BB6310">
            <w:pPr>
              <w:spacing w:before="35" w:after="0" w:line="240" w:lineRule="auto"/>
              <w:ind w:left="108" w:right="-20"/>
            </w:pPr>
            <w:r>
              <w:rPr>
                <w:rFonts w:ascii="Garamond" w:eastAsia="Myriad Pro" w:hAnsi="Garamond" w:cs="Myriad Pro"/>
                <w:color w:val="231F20"/>
                <w:sz w:val="24"/>
                <w:szCs w:val="24"/>
              </w:rPr>
              <w:t xml:space="preserve">– opis </w:t>
            </w:r>
            <w:r>
              <w:rPr>
                <w:rFonts w:ascii="Garamond" w:eastAsia="Myriad Pro" w:hAnsi="Garamond" w:cs="Myriad Pro"/>
                <w:color w:val="231F20"/>
                <w:spacing w:val="-1"/>
                <w:sz w:val="24"/>
                <w:szCs w:val="24"/>
              </w:rPr>
              <w:t>t</w:t>
            </w:r>
            <w:r>
              <w:rPr>
                <w:rFonts w:ascii="Garamond" w:eastAsia="Myriad Pro" w:hAnsi="Garamond" w:cs="Myriad Pro"/>
                <w:color w:val="231F20"/>
                <w:sz w:val="24"/>
                <w:szCs w:val="24"/>
              </w:rPr>
              <w:t>em</w:t>
            </w:r>
            <w:r>
              <w:rPr>
                <w:rFonts w:ascii="Garamond" w:eastAsia="Myriad Pro" w:hAnsi="Garamond" w:cs="Myriad Pro"/>
                <w:color w:val="231F20"/>
                <w:spacing w:val="-3"/>
                <w:sz w:val="24"/>
                <w:szCs w:val="24"/>
              </w:rPr>
              <w:t>e</w:t>
            </w:r>
            <w:r>
              <w:rPr>
                <w:rFonts w:ascii="Garamond" w:eastAsia="Myriad Pro" w:hAnsi="Garamond" w:cs="Myriad Pro"/>
                <w:color w:val="231F20"/>
                <w:sz w:val="24"/>
                <w:szCs w:val="24"/>
              </w:rPr>
              <w:t>, prijedloga ili p</w:t>
            </w:r>
            <w:r>
              <w:rPr>
                <w:rFonts w:ascii="Garamond" w:eastAsia="Myriad Pro" w:hAnsi="Garamond" w:cs="Myriad Pro"/>
                <w:color w:val="231F20"/>
                <w:spacing w:val="-2"/>
                <w:sz w:val="24"/>
                <w:szCs w:val="24"/>
              </w:rPr>
              <w:t>r</w:t>
            </w:r>
            <w:r>
              <w:rPr>
                <w:rFonts w:ascii="Garamond" w:eastAsia="Myriad Pro" w:hAnsi="Garamond" w:cs="Myriad Pro"/>
                <w:color w:val="231F20"/>
                <w:sz w:val="24"/>
                <w:szCs w:val="24"/>
              </w:rPr>
              <w:t>oblema o kojemu se p</w:t>
            </w:r>
            <w:r>
              <w:rPr>
                <w:rFonts w:ascii="Garamond" w:eastAsia="Myriad Pro" w:hAnsi="Garamond" w:cs="Myriad Pro"/>
                <w:color w:val="231F20"/>
                <w:spacing w:val="-2"/>
                <w:sz w:val="24"/>
                <w:szCs w:val="24"/>
              </w:rPr>
              <w:t>rov</w:t>
            </w:r>
            <w:r>
              <w:rPr>
                <w:rFonts w:ascii="Garamond" w:eastAsia="Myriad Pro" w:hAnsi="Garamond" w:cs="Myriad Pro"/>
                <w:color w:val="231F20"/>
                <w:sz w:val="24"/>
                <w:szCs w:val="24"/>
              </w:rPr>
              <w:t>odi s</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vje</w:t>
            </w:r>
            <w:r>
              <w:rPr>
                <w:rFonts w:ascii="Garamond" w:eastAsia="Myriad Pro" w:hAnsi="Garamond" w:cs="Myriad Pro"/>
                <w:color w:val="231F20"/>
                <w:spacing w:val="-1"/>
                <w:sz w:val="24"/>
                <w:szCs w:val="24"/>
              </w:rPr>
              <w:t>t</w:t>
            </w:r>
            <w:r>
              <w:rPr>
                <w:rFonts w:ascii="Garamond" w:eastAsia="Myriad Pro" w:hAnsi="Garamond" w:cs="Myriad Pro"/>
                <w:color w:val="231F20"/>
                <w:spacing w:val="-2"/>
                <w:sz w:val="24"/>
                <w:szCs w:val="24"/>
              </w:rPr>
              <w:t>o</w:t>
            </w:r>
            <w:r>
              <w:rPr>
                <w:rFonts w:ascii="Garamond" w:eastAsia="Myriad Pro" w:hAnsi="Garamond" w:cs="Myriad Pro"/>
                <w:color w:val="231F20"/>
                <w:spacing w:val="-1"/>
                <w:sz w:val="24"/>
                <w:szCs w:val="24"/>
              </w:rPr>
              <w:t>v</w:t>
            </w:r>
            <w:r>
              <w:rPr>
                <w:rFonts w:ascii="Garamond" w:eastAsia="Myriad Pro" w:hAnsi="Garamond" w:cs="Myriad Pro"/>
                <w:color w:val="231F20"/>
                <w:sz w:val="24"/>
                <w:szCs w:val="24"/>
              </w:rPr>
              <w:t xml:space="preserve">anje: Savjetovanje se provodi o prijedlogu Odluke o načinu pružanja javne usluge sakupljanja komunalnog otpada na području Općine </w:t>
            </w:r>
            <w:r>
              <w:rPr>
                <w:rFonts w:ascii="Garamond" w:eastAsia="Myriad Pro" w:hAnsi="Garamond" w:cs="Myriad Pro"/>
                <w:color w:val="231F20"/>
                <w:sz w:val="24"/>
                <w:szCs w:val="24"/>
              </w:rPr>
              <w:t>Punat.</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Javna usluga sakupljanja komunalnog otpada podrazumijeva prikupljanje komunalnog otpada na području pružanja javne usluge putem spremnika od pojedinog korisnika i prijevoz i predaju tog otpada ovlaštenoj osobi za obradu takvoga otpada.</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 xml:space="preserve">Javna usluga </w:t>
            </w:r>
            <w:r>
              <w:rPr>
                <w:rFonts w:ascii="Garamond" w:eastAsia="Times New Roman" w:hAnsi="Garamond"/>
                <w:sz w:val="24"/>
                <w:szCs w:val="24"/>
                <w:lang w:val="en-GB" w:eastAsia="en-GB"/>
              </w:rPr>
              <w:t>je usluga od općeg interesa i uključuje sljedeće usluge: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 uslugu prikupljanja na lokaciji obračunskog mjesta korisnika usluge: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1. miješanog komunalnog otpada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2. biootpada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3. reciklabilnog otpada i</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4. glomaznog otpada minimalno jednom godišnje</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 xml:space="preserve">-uslugu </w:t>
            </w:r>
            <w:r>
              <w:rPr>
                <w:rFonts w:ascii="Garamond" w:eastAsia="Times New Roman" w:hAnsi="Garamond"/>
                <w:sz w:val="24"/>
                <w:szCs w:val="24"/>
                <w:lang w:val="en-GB" w:eastAsia="en-GB"/>
              </w:rPr>
              <w:t>preuzimanja otpada u reciklažnom dvorištu</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-uslugu prijevoza i predaje otpada ovlaštenoj osobi.</w:t>
            </w:r>
          </w:p>
          <w:p w:rsidR="005C6FA7" w:rsidRDefault="005C6FA7">
            <w:pPr>
              <w:widowControl/>
              <w:spacing w:after="0" w:line="240" w:lineRule="auto"/>
              <w:jc w:val="both"/>
              <w:rPr>
                <w:rFonts w:ascii="Garamond" w:eastAsia="Times New Roman" w:hAnsi="Garamond"/>
                <w:sz w:val="24"/>
                <w:szCs w:val="24"/>
                <w:lang w:val="en-GB" w:eastAsia="en-GB"/>
              </w:rPr>
            </w:pP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Izvršno tijelo jedinice lokalne samouprave dužno je na svom području osigurati obavljanje javne usluge sakupljanja komunalnog otpada na kvalitetan, postojan i e</w:t>
            </w:r>
            <w:r>
              <w:rPr>
                <w:rFonts w:ascii="Garamond" w:eastAsia="Times New Roman" w:hAnsi="Garamond"/>
                <w:sz w:val="24"/>
                <w:szCs w:val="24"/>
                <w:lang w:val="en-GB" w:eastAsia="en-GB"/>
              </w:rPr>
              <w:t>konomski učinkovit način, izbjegavajući neopravdano visoke troškove, u skladu s načelima održivog razvoja, zaštite okoliša, osiguravajući pri tom javnost rada kako bi se osiguralo odvojeno sakupljanje miješanog komunalnog otpada iz kućanstava i drugih izvo</w:t>
            </w:r>
            <w:r>
              <w:rPr>
                <w:rFonts w:ascii="Garamond" w:eastAsia="Times New Roman" w:hAnsi="Garamond"/>
                <w:sz w:val="24"/>
                <w:szCs w:val="24"/>
                <w:lang w:val="en-GB" w:eastAsia="en-GB"/>
              </w:rPr>
              <w:t>ra, biootpada iz kućanstava, reciklabilnog komunalnog otpada, opasnog komunalnog otpada i glomaznog otpada iz kućanstava. </w:t>
            </w:r>
          </w:p>
          <w:p w:rsidR="005C6FA7" w:rsidRDefault="005C6FA7">
            <w:pPr>
              <w:spacing w:before="35" w:after="0" w:line="240" w:lineRule="auto"/>
              <w:ind w:right="-20"/>
              <w:rPr>
                <w:rFonts w:ascii="Garamond" w:eastAsia="Myriad Pro" w:hAnsi="Garamond" w:cs="Myriad Pro"/>
                <w:b/>
                <w:bCs/>
                <w:color w:val="231F20"/>
                <w:sz w:val="24"/>
                <w:szCs w:val="24"/>
                <w:u w:val="single"/>
                <w:lang w:val="en-GB"/>
              </w:rPr>
            </w:pPr>
          </w:p>
          <w:p w:rsidR="005C6FA7" w:rsidRDefault="00BB6310">
            <w:pPr>
              <w:spacing w:before="35" w:after="0" w:line="240" w:lineRule="auto"/>
              <w:ind w:right="-20"/>
            </w:pPr>
            <w:r>
              <w:rPr>
                <w:rFonts w:ascii="Garamond" w:eastAsia="Myriad Pro" w:hAnsi="Garamond" w:cs="Myriad Pro"/>
                <w:b/>
                <w:bCs/>
                <w:color w:val="231F20"/>
                <w:sz w:val="24"/>
                <w:szCs w:val="24"/>
                <w:u w:val="single"/>
                <w:lang w:val="en-GB"/>
              </w:rPr>
              <w:t>Obveze davatelja javne usluge propisane su Zakonom o gospodarenju otpadom:</w:t>
            </w:r>
          </w:p>
          <w:p w:rsidR="005C6FA7" w:rsidRDefault="00BB6310">
            <w:pPr>
              <w:numPr>
                <w:ilvl w:val="0"/>
                <w:numId w:val="1"/>
              </w:numPr>
              <w:tabs>
                <w:tab w:val="left" w:pos="720"/>
              </w:tabs>
              <w:spacing w:after="0" w:line="240" w:lineRule="auto"/>
              <w:ind w:left="714" w:right="-23" w:hanging="357"/>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 xml:space="preserve">gospodariti s odvojeno sakupljenim komunalnim otpadom, </w:t>
            </w:r>
            <w:r>
              <w:rPr>
                <w:rFonts w:ascii="Garamond" w:eastAsia="Myriad Pro" w:hAnsi="Garamond" w:cs="Myriad Pro"/>
                <w:color w:val="231F20"/>
                <w:sz w:val="24"/>
                <w:szCs w:val="24"/>
                <w:lang w:val="en-GB"/>
              </w:rPr>
              <w:t>uključujući preuzimanje i prijevoz tog otpada, sukladno redu prvenstva gospodarenja otpadom i način na koji ne dovodi do miješanja odvojeno sakupljenog komunalnog otpada s drugom vrstom otpada ili otpadom koji ima drugačija svojstva.</w:t>
            </w:r>
          </w:p>
          <w:p w:rsidR="005C6FA7" w:rsidRDefault="00BB6310">
            <w:pPr>
              <w:numPr>
                <w:ilvl w:val="0"/>
                <w:numId w:val="1"/>
              </w:numPr>
              <w:tabs>
                <w:tab w:val="left" w:pos="720"/>
              </w:tabs>
              <w:spacing w:after="0" w:line="240" w:lineRule="auto"/>
              <w:ind w:left="714" w:right="-23" w:hanging="357"/>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pružati javnu uslugu u</w:t>
            </w:r>
            <w:r>
              <w:rPr>
                <w:rFonts w:ascii="Garamond" w:eastAsia="Myriad Pro" w:hAnsi="Garamond" w:cs="Myriad Pro"/>
                <w:color w:val="231F20"/>
                <w:sz w:val="24"/>
                <w:szCs w:val="24"/>
                <w:lang w:val="en-GB"/>
              </w:rPr>
              <w:t xml:space="preserve"> skladu s Zakonom o gospodarenju otpadom i ovom Odlukom.</w:t>
            </w:r>
          </w:p>
          <w:p w:rsidR="005C6FA7" w:rsidRDefault="005C6FA7">
            <w:pPr>
              <w:spacing w:after="0" w:line="240" w:lineRule="auto"/>
              <w:ind w:left="714" w:right="-23"/>
              <w:rPr>
                <w:rFonts w:ascii="Garamond" w:eastAsia="Myriad Pro" w:hAnsi="Garamond" w:cs="Myriad Pro"/>
                <w:color w:val="231F20"/>
                <w:sz w:val="24"/>
                <w:szCs w:val="24"/>
                <w:lang w:val="en-GB"/>
              </w:rPr>
            </w:pPr>
          </w:p>
          <w:p w:rsidR="005C6FA7" w:rsidRDefault="005C6FA7">
            <w:pPr>
              <w:spacing w:after="0" w:line="240" w:lineRule="auto"/>
              <w:ind w:left="714" w:right="-23"/>
              <w:rPr>
                <w:rFonts w:ascii="Garamond" w:eastAsia="Myriad Pro" w:hAnsi="Garamond" w:cs="Myriad Pro"/>
                <w:color w:val="231F20"/>
                <w:sz w:val="24"/>
                <w:szCs w:val="24"/>
                <w:lang w:val="en-GB"/>
              </w:rPr>
            </w:pPr>
          </w:p>
          <w:p w:rsidR="005C6FA7" w:rsidRDefault="00BB6310">
            <w:pPr>
              <w:numPr>
                <w:ilvl w:val="0"/>
                <w:numId w:val="1"/>
              </w:numPr>
              <w:tabs>
                <w:tab w:val="left" w:pos="720"/>
              </w:tabs>
              <w:spacing w:after="0" w:line="240" w:lineRule="auto"/>
              <w:ind w:left="714" w:right="-23" w:hanging="357"/>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snositi sve troškove gospodarenja prikupljenim otpadom, osim troškova postupanja s reciklabilnim komunalnim otpadom koji se sastoji pretežito od otpadne ambalaže.</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osigurati korisniku usluge spremni</w:t>
            </w:r>
            <w:r>
              <w:rPr>
                <w:rFonts w:ascii="Garamond" w:eastAsia="Myriad Pro" w:hAnsi="Garamond" w:cs="Myriad Pro"/>
                <w:color w:val="231F20"/>
                <w:sz w:val="24"/>
                <w:szCs w:val="24"/>
                <w:lang w:val="en-GB"/>
              </w:rPr>
              <w:t>ke za primopredaju komunalnog otpada</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 preuzeti sadržaj spremnika od korisnika usluge i to odvojeno miješani komunalni otpad,  biootpad, reciklabilni komunalni otpad i glomazni otpad  </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 osigurati provjeru da otpad sadržan u spremniku prilikom primopredaje o</w:t>
            </w:r>
            <w:r>
              <w:rPr>
                <w:rFonts w:ascii="Garamond" w:eastAsia="Myriad Pro" w:hAnsi="Garamond" w:cs="Myriad Pro"/>
                <w:color w:val="231F20"/>
                <w:sz w:val="24"/>
                <w:szCs w:val="24"/>
                <w:lang w:val="en-GB"/>
              </w:rPr>
              <w:t>dgovara vrsti otpada čija se primopredaja obavlja,</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osigurati uvjete kojima se ostvaruje pojedinačno korištenje javne usluge neovisno o broju korisnika usluge koji koriste zajednički spremnik</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predati sakupljeni reciklabilni komunalni otpad osobi koju odredi</w:t>
            </w:r>
            <w:r>
              <w:rPr>
                <w:rFonts w:ascii="Garamond" w:eastAsia="Myriad Pro" w:hAnsi="Garamond" w:cs="Myriad Pro"/>
                <w:color w:val="231F20"/>
                <w:sz w:val="24"/>
                <w:szCs w:val="24"/>
                <w:lang w:val="en-GB"/>
              </w:rPr>
              <w:t xml:space="preserve"> Fond</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voditi evidencije propisane člankom 82. Zakona o gospodarenju otpadom.</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 na spremniku održavati natpis o vrsti otpada</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 osigurati sigurnost, redovitost i kvalitetu javne usluge</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 predati miješani komunalni otpad u centar za gospodarenje otpadom sukladno</w:t>
            </w:r>
            <w:r>
              <w:rPr>
                <w:rFonts w:ascii="Garamond" w:eastAsia="Myriad Pro" w:hAnsi="Garamond" w:cs="Myriad Pro"/>
                <w:color w:val="231F20"/>
                <w:sz w:val="24"/>
                <w:szCs w:val="24"/>
                <w:lang w:val="en-GB"/>
              </w:rPr>
              <w:t xml:space="preserve"> Planu gospodarenja otpadom Republike Hrvatske</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 obračunati cijenu javne usluge na način propisan Zakonom o gospodarenju otpadom, ovom Odlukom i cjenikom iz članka 77. Zakona o gospodarenju otpadom</w:t>
            </w:r>
          </w:p>
          <w:p w:rsidR="005C6FA7" w:rsidRDefault="00BB6310">
            <w:pPr>
              <w:numPr>
                <w:ilvl w:val="0"/>
                <w:numId w:val="1"/>
              </w:numPr>
              <w:spacing w:before="35" w:after="0" w:line="240" w:lineRule="auto"/>
              <w:ind w:right="-20"/>
              <w:rPr>
                <w:rFonts w:ascii="Garamond" w:eastAsia="Myriad Pro" w:hAnsi="Garamond" w:cs="Myriad Pro"/>
                <w:color w:val="231F20"/>
                <w:sz w:val="24"/>
                <w:szCs w:val="24"/>
                <w:lang w:val="en-GB"/>
              </w:rPr>
            </w:pPr>
            <w:r>
              <w:rPr>
                <w:rFonts w:ascii="Garamond" w:eastAsia="Myriad Pro" w:hAnsi="Garamond" w:cs="Myriad Pro"/>
                <w:color w:val="231F20"/>
                <w:sz w:val="24"/>
                <w:szCs w:val="24"/>
                <w:lang w:val="en-GB"/>
              </w:rPr>
              <w:t xml:space="preserve">na računu za javnu uslugu navesti sve elemente temeljem </w:t>
            </w:r>
            <w:r>
              <w:rPr>
                <w:rFonts w:ascii="Garamond" w:eastAsia="Myriad Pro" w:hAnsi="Garamond" w:cs="Myriad Pro"/>
                <w:color w:val="231F20"/>
                <w:sz w:val="24"/>
                <w:szCs w:val="24"/>
                <w:lang w:val="en-GB"/>
              </w:rPr>
              <w:t>kojih je izvršio obračun cijene javne usluge, uključivo i porez na dodanu vrijednost određen sukladno posebnom propisu koji uređuje porez na dodanu vrijednost. </w:t>
            </w:r>
          </w:p>
          <w:p w:rsidR="005C6FA7" w:rsidRDefault="005C6FA7">
            <w:pPr>
              <w:widowControl/>
              <w:spacing w:after="0" w:line="240" w:lineRule="auto"/>
              <w:jc w:val="both"/>
              <w:rPr>
                <w:rFonts w:ascii="Garamond" w:eastAsia="Myriad Pro" w:hAnsi="Garamond" w:cs="Myriad Pro"/>
                <w:color w:val="231F20"/>
                <w:sz w:val="24"/>
                <w:szCs w:val="24"/>
              </w:rPr>
            </w:pP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O svom radu Davatelj usluge dužan je predstavničkom tijelu jedinice lokalne samouprave podnije</w:t>
            </w:r>
            <w:r>
              <w:rPr>
                <w:rFonts w:ascii="Garamond" w:eastAsia="Times New Roman" w:hAnsi="Garamond"/>
                <w:sz w:val="24"/>
                <w:szCs w:val="24"/>
                <w:lang w:val="en-GB" w:eastAsia="en-GB"/>
              </w:rPr>
              <w:t>ti Izvješće o radu do 31. ožujka tekuće godine za prethodnu kalendarsku godinu i dostaviti ga Ministarstvu. </w:t>
            </w:r>
          </w:p>
          <w:p w:rsidR="005C6FA7" w:rsidRDefault="005C6FA7">
            <w:pPr>
              <w:widowControl/>
              <w:spacing w:after="0" w:line="240" w:lineRule="auto"/>
              <w:jc w:val="both"/>
              <w:rPr>
                <w:rFonts w:ascii="Garamond" w:eastAsia="Times New Roman" w:hAnsi="Garamond"/>
                <w:b/>
                <w:bCs/>
                <w:sz w:val="24"/>
                <w:szCs w:val="24"/>
                <w:u w:val="single"/>
                <w:lang w:val="en-GB" w:eastAsia="en-GB"/>
              </w:rPr>
            </w:pPr>
          </w:p>
          <w:p w:rsidR="005C6FA7" w:rsidRDefault="00BB6310">
            <w:pPr>
              <w:widowControl/>
              <w:spacing w:after="0" w:line="240" w:lineRule="auto"/>
              <w:jc w:val="both"/>
            </w:pPr>
            <w:r>
              <w:rPr>
                <w:rFonts w:ascii="Garamond" w:eastAsia="Times New Roman" w:hAnsi="Garamond"/>
                <w:b/>
                <w:bCs/>
                <w:sz w:val="24"/>
                <w:szCs w:val="24"/>
                <w:u w:val="single"/>
                <w:lang w:val="en-GB" w:eastAsia="en-GB"/>
              </w:rPr>
              <w:t>Obveze Korisnika javne usluge propisane su Zakonom o gospodarenju otpadom:</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1. koristiti javnu uslugu na području na kojem se nalazi nekretnina kor</w:t>
            </w:r>
            <w:r>
              <w:rPr>
                <w:rFonts w:ascii="Garamond" w:eastAsia="Times New Roman" w:hAnsi="Garamond"/>
                <w:sz w:val="24"/>
                <w:szCs w:val="24"/>
                <w:lang w:val="en-GB" w:eastAsia="en-GB"/>
              </w:rPr>
              <w:t>isnika usluge na način da proizvedeni komunalni otpad predaje putem zaduženog spremnika</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2. omogućiti davatelju usluge pristup spremniku na mjestu primopredaje otpada kad to mjesto nije na javnoj površini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3. postupati s otpadom na obračunskom mjestu korisn</w:t>
            </w:r>
            <w:r>
              <w:rPr>
                <w:rFonts w:ascii="Garamond" w:eastAsia="Times New Roman" w:hAnsi="Garamond"/>
                <w:sz w:val="24"/>
                <w:szCs w:val="24"/>
                <w:lang w:val="en-GB" w:eastAsia="en-GB"/>
              </w:rPr>
              <w:t>ika usluge na način koji ne dovodi u opasnost ljudsko zdravlje i ne dovodi do rasipanja otpada oko spremnika i ne uzrokuje pojavu neugode drugoj osobi zbog mirisa otpada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4. odgovarati za postupanje s otpadom i spremnikom na obračunskom mjestu korisnika us</w:t>
            </w:r>
            <w:r>
              <w:rPr>
                <w:rFonts w:ascii="Garamond" w:eastAsia="Times New Roman" w:hAnsi="Garamond"/>
                <w:sz w:val="24"/>
                <w:szCs w:val="24"/>
                <w:lang w:val="en-GB" w:eastAsia="en-GB"/>
              </w:rPr>
              <w:t>luge, te kad više korisnika koristi zajednički spremnik zajedno s ostalim korisnicima usluge na istom obračunskom mjestu odgovarati za obveze nastale zajedničkim korištenjem spremnika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5. platiti davatelju usluge iznos cijene javne usluge za obračunsko mj</w:t>
            </w:r>
            <w:r>
              <w:rPr>
                <w:rFonts w:ascii="Garamond" w:eastAsia="Times New Roman" w:hAnsi="Garamond"/>
                <w:sz w:val="24"/>
                <w:szCs w:val="24"/>
                <w:lang w:val="en-GB" w:eastAsia="en-GB"/>
              </w:rPr>
              <w:t>esto i obračunsko razdoblje, osim za obračunsko mjesto na kojem je nekretnina koja se trajno ne koristi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6. predati opasni komunalni otpad u reciklažno dvorište ili mobilno reciklažno dvorište odnosno postupiti s istim u skladu s  propisom koji uređuje gos</w:t>
            </w:r>
            <w:r>
              <w:rPr>
                <w:rFonts w:ascii="Garamond" w:eastAsia="Times New Roman" w:hAnsi="Garamond"/>
                <w:sz w:val="24"/>
                <w:szCs w:val="24"/>
                <w:lang w:val="en-GB" w:eastAsia="en-GB"/>
              </w:rPr>
              <w:t>podarenje posebnom kategorijom otpada, osim korisnika koji nije kućanstvo</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7. predati odvojeno miješani komunalni otpad, reciklabilni komunalni otpad, opasni komunalni otpad i glomazni otpad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 xml:space="preserve">8. predati odvojeno biootpad ili kompostirati biootpad na mjestu </w:t>
            </w:r>
            <w:r>
              <w:rPr>
                <w:rFonts w:ascii="Garamond" w:eastAsia="Times New Roman" w:hAnsi="Garamond"/>
                <w:sz w:val="24"/>
                <w:szCs w:val="24"/>
                <w:lang w:val="en-GB" w:eastAsia="en-GB"/>
              </w:rPr>
              <w:t>nastanka  </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9. dostaviti davatelju usluge ispunjenu Izjavu o načinu korištenja javne usluge</w:t>
            </w:r>
          </w:p>
          <w:p w:rsidR="005C6FA7" w:rsidRDefault="00BB6310">
            <w:pPr>
              <w:widowControl/>
              <w:spacing w:after="0" w:line="240" w:lineRule="auto"/>
              <w:jc w:val="both"/>
              <w:rPr>
                <w:rFonts w:ascii="Garamond" w:eastAsia="Times New Roman" w:hAnsi="Garamond"/>
                <w:sz w:val="24"/>
                <w:szCs w:val="24"/>
                <w:lang w:val="en-GB" w:eastAsia="en-GB"/>
              </w:rPr>
            </w:pPr>
            <w:r>
              <w:rPr>
                <w:rFonts w:ascii="Garamond" w:eastAsia="Times New Roman" w:hAnsi="Garamond"/>
                <w:sz w:val="24"/>
                <w:szCs w:val="24"/>
                <w:lang w:val="en-GB" w:eastAsia="en-GB"/>
              </w:rPr>
              <w:t>10. omogućiti davatelju javne usluge označivanje spremnika odgovarajućim natpisom i oznakom.</w:t>
            </w:r>
          </w:p>
          <w:p w:rsidR="005C6FA7" w:rsidRDefault="005C6FA7">
            <w:pPr>
              <w:widowControl/>
              <w:spacing w:after="0" w:line="240" w:lineRule="auto"/>
              <w:rPr>
                <w:rFonts w:ascii="Garamond" w:eastAsia="Times New Roman" w:hAnsi="Garamond"/>
                <w:b/>
                <w:bCs/>
                <w:color w:val="231F20"/>
                <w:sz w:val="24"/>
                <w:szCs w:val="24"/>
                <w:u w:val="single"/>
                <w:shd w:val="clear" w:color="auto" w:fill="FFFFFF"/>
                <w:lang w:val="en-GB" w:eastAsia="en-GB"/>
              </w:rPr>
            </w:pPr>
          </w:p>
          <w:p w:rsidR="005C6FA7" w:rsidRDefault="005C6FA7">
            <w:pPr>
              <w:spacing w:before="35" w:after="0" w:line="240" w:lineRule="auto"/>
              <w:ind w:left="108" w:right="-20"/>
              <w:rPr>
                <w:rFonts w:ascii="Garamond" w:eastAsia="Myriad Pro" w:hAnsi="Garamond" w:cs="Myriad Pro"/>
                <w:color w:val="231F20"/>
                <w:sz w:val="24"/>
                <w:szCs w:val="24"/>
              </w:rPr>
            </w:pPr>
          </w:p>
          <w:p w:rsidR="005C6FA7" w:rsidRDefault="005C6FA7">
            <w:pPr>
              <w:spacing w:before="35" w:after="0" w:line="240" w:lineRule="auto"/>
              <w:ind w:right="-20"/>
              <w:rPr>
                <w:rFonts w:ascii="Garamond" w:eastAsia="Myriad Pro" w:hAnsi="Garamond" w:cs="Myriad Pro"/>
                <w:color w:val="231F20"/>
                <w:sz w:val="24"/>
                <w:szCs w:val="24"/>
              </w:rPr>
            </w:pPr>
          </w:p>
          <w:p w:rsidR="005C6FA7" w:rsidRDefault="005C6FA7">
            <w:pPr>
              <w:spacing w:before="35" w:after="0" w:line="240" w:lineRule="auto"/>
              <w:ind w:left="108" w:right="-20"/>
              <w:rPr>
                <w:rFonts w:ascii="Garamond" w:eastAsia="Myriad Pro" w:hAnsi="Garamond" w:cs="Myriad Pro"/>
                <w:sz w:val="24"/>
                <w:szCs w:val="24"/>
              </w:rPr>
            </w:pPr>
          </w:p>
        </w:tc>
      </w:tr>
      <w:tr w:rsidR="005C6FA7">
        <w:tblPrEx>
          <w:tblCellMar>
            <w:top w:w="0" w:type="dxa"/>
            <w:bottom w:w="0" w:type="dxa"/>
          </w:tblCellMar>
        </w:tblPrEx>
        <w:trPr>
          <w:trHeight w:val="903"/>
        </w:trPr>
        <w:tc>
          <w:tcPr>
            <w:tcW w:w="9634" w:type="dxa"/>
            <w:gridSpan w:val="2"/>
            <w:tcBorders>
              <w:top w:val="single" w:sz="6" w:space="0" w:color="231F20"/>
              <w:left w:val="single" w:sz="4"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BB6310">
            <w:pPr>
              <w:spacing w:before="35" w:after="0" w:line="240" w:lineRule="auto"/>
              <w:ind w:left="108" w:right="-20"/>
            </w:pPr>
            <w:r>
              <w:rPr>
                <w:rFonts w:ascii="Garamond" w:eastAsia="Myriad Pro" w:hAnsi="Garamond" w:cs="Myriad Pro"/>
                <w:color w:val="231F20"/>
                <w:sz w:val="24"/>
                <w:szCs w:val="24"/>
              </w:rPr>
              <w:lastRenderedPageBreak/>
              <w:t>– svrha s</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vje</w:t>
            </w:r>
            <w:r>
              <w:rPr>
                <w:rFonts w:ascii="Garamond" w:eastAsia="Myriad Pro" w:hAnsi="Garamond" w:cs="Myriad Pro"/>
                <w:color w:val="231F20"/>
                <w:spacing w:val="-1"/>
                <w:sz w:val="24"/>
                <w:szCs w:val="24"/>
              </w:rPr>
              <w:t>t</w:t>
            </w:r>
            <w:r>
              <w:rPr>
                <w:rFonts w:ascii="Garamond" w:eastAsia="Myriad Pro" w:hAnsi="Garamond" w:cs="Myriad Pro"/>
                <w:color w:val="231F20"/>
                <w:spacing w:val="-2"/>
                <w:sz w:val="24"/>
                <w:szCs w:val="24"/>
              </w:rPr>
              <w:t>o</w:t>
            </w:r>
            <w:r>
              <w:rPr>
                <w:rFonts w:ascii="Garamond" w:eastAsia="Myriad Pro" w:hAnsi="Garamond" w:cs="Myriad Pro"/>
                <w:color w:val="231F20"/>
                <w:spacing w:val="-1"/>
                <w:sz w:val="24"/>
                <w:szCs w:val="24"/>
              </w:rPr>
              <w:t>v</w:t>
            </w:r>
            <w:r>
              <w:rPr>
                <w:rFonts w:ascii="Garamond" w:eastAsia="Myriad Pro" w:hAnsi="Garamond" w:cs="Myriad Pro"/>
                <w:color w:val="231F20"/>
                <w:sz w:val="24"/>
                <w:szCs w:val="24"/>
              </w:rPr>
              <w:t xml:space="preserve">anja i cilj koji bi se prijedlogom </w:t>
            </w:r>
            <w:r>
              <w:rPr>
                <w:rFonts w:ascii="Garamond" w:eastAsia="Myriad Pro" w:hAnsi="Garamond" w:cs="Myriad Pro"/>
                <w:color w:val="231F20"/>
                <w:spacing w:val="-2"/>
                <w:sz w:val="24"/>
                <w:szCs w:val="24"/>
              </w:rPr>
              <w:t>ž</w:t>
            </w:r>
            <w:r>
              <w:rPr>
                <w:rFonts w:ascii="Garamond" w:eastAsia="Myriad Pro" w:hAnsi="Garamond" w:cs="Myriad Pro"/>
                <w:color w:val="231F20"/>
                <w:sz w:val="24"/>
                <w:szCs w:val="24"/>
              </w:rPr>
              <w:t xml:space="preserve">elio postići: </w:t>
            </w:r>
            <w:r>
              <w:rPr>
                <w:rFonts w:ascii="Garamond" w:eastAsia="Myriad Pro" w:hAnsi="Garamond" w:cs="Myriad Pro"/>
                <w:color w:val="231F20"/>
                <w:sz w:val="24"/>
                <w:szCs w:val="24"/>
              </w:rPr>
              <w:t>Cilj savjetovanja sa zainteresiranom javnošću jest upoznavanje zainteresirane javnosti s prijedlogom dokumenta te prikupljanje prijedloga i primjedbi zainteresirane javnosti koji će se razmatrati i eventualno prihvatiti.</w:t>
            </w:r>
          </w:p>
        </w:tc>
      </w:tr>
      <w:tr w:rsidR="005C6FA7">
        <w:tblPrEx>
          <w:tblCellMar>
            <w:top w:w="0" w:type="dxa"/>
            <w:bottom w:w="0" w:type="dxa"/>
          </w:tblCellMar>
        </w:tblPrEx>
        <w:trPr>
          <w:trHeight w:val="762"/>
        </w:trPr>
        <w:tc>
          <w:tcPr>
            <w:tcW w:w="9634" w:type="dxa"/>
            <w:gridSpan w:val="2"/>
            <w:tcBorders>
              <w:top w:val="single" w:sz="6" w:space="0" w:color="231F20"/>
              <w:left w:val="single" w:sz="4"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BB6310">
            <w:pPr>
              <w:spacing w:before="37" w:after="0" w:line="260" w:lineRule="exact"/>
              <w:ind w:left="265" w:right="645" w:hanging="157"/>
            </w:pPr>
            <w:r>
              <w:rPr>
                <w:rFonts w:ascii="Garamond" w:eastAsia="Myriad Pro" w:hAnsi="Garamond" w:cs="Myriad Pro"/>
                <w:color w:val="231F20"/>
                <w:sz w:val="24"/>
                <w:szCs w:val="24"/>
              </w:rPr>
              <w:t>– me</w:t>
            </w:r>
            <w:r>
              <w:rPr>
                <w:rFonts w:ascii="Garamond" w:eastAsia="Myriad Pro" w:hAnsi="Garamond" w:cs="Myriad Pro"/>
                <w:color w:val="231F20"/>
                <w:spacing w:val="-1"/>
                <w:sz w:val="24"/>
                <w:szCs w:val="24"/>
              </w:rPr>
              <w:t>t</w:t>
            </w:r>
            <w:r>
              <w:rPr>
                <w:rFonts w:ascii="Garamond" w:eastAsia="Myriad Pro" w:hAnsi="Garamond" w:cs="Myriad Pro"/>
                <w:color w:val="231F20"/>
                <w:sz w:val="24"/>
                <w:szCs w:val="24"/>
              </w:rPr>
              <w:t>oda s</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vje</w:t>
            </w:r>
            <w:r>
              <w:rPr>
                <w:rFonts w:ascii="Garamond" w:eastAsia="Myriad Pro" w:hAnsi="Garamond" w:cs="Myriad Pro"/>
                <w:color w:val="231F20"/>
                <w:spacing w:val="-1"/>
                <w:sz w:val="24"/>
                <w:szCs w:val="24"/>
              </w:rPr>
              <w:t>t</w:t>
            </w:r>
            <w:r>
              <w:rPr>
                <w:rFonts w:ascii="Garamond" w:eastAsia="Myriad Pro" w:hAnsi="Garamond" w:cs="Myriad Pro"/>
                <w:color w:val="231F20"/>
                <w:spacing w:val="-2"/>
                <w:sz w:val="24"/>
                <w:szCs w:val="24"/>
              </w:rPr>
              <w:t>o</w:t>
            </w:r>
            <w:r>
              <w:rPr>
                <w:rFonts w:ascii="Garamond" w:eastAsia="Myriad Pro" w:hAnsi="Garamond" w:cs="Myriad Pro"/>
                <w:color w:val="231F20"/>
                <w:spacing w:val="-1"/>
                <w:sz w:val="24"/>
                <w:szCs w:val="24"/>
              </w:rPr>
              <w:t>v</w:t>
            </w:r>
            <w:r>
              <w:rPr>
                <w:rFonts w:ascii="Garamond" w:eastAsia="Myriad Pro" w:hAnsi="Garamond" w:cs="Myriad Pro"/>
                <w:color w:val="231F20"/>
                <w:sz w:val="24"/>
                <w:szCs w:val="24"/>
              </w:rPr>
              <w:t xml:space="preserve">anja: </w:t>
            </w:r>
            <w:r>
              <w:rPr>
                <w:rFonts w:ascii="Garamond" w:eastAsia="Myriad Pro" w:hAnsi="Garamond" w:cs="Myriad Pro"/>
                <w:color w:val="231F20"/>
                <w:sz w:val="24"/>
                <w:szCs w:val="24"/>
              </w:rPr>
              <w:t>Savjetovanje se provodi javnom objavom na web stranici Općine Punat putem priloženog obrasca za sudjelovanje u savjetovanju.</w:t>
            </w:r>
          </w:p>
        </w:tc>
      </w:tr>
      <w:tr w:rsidR="005C6FA7">
        <w:tblPrEx>
          <w:tblCellMar>
            <w:top w:w="0" w:type="dxa"/>
            <w:bottom w:w="0" w:type="dxa"/>
          </w:tblCellMar>
        </w:tblPrEx>
        <w:trPr>
          <w:trHeight w:val="1367"/>
        </w:trPr>
        <w:tc>
          <w:tcPr>
            <w:tcW w:w="9634" w:type="dxa"/>
            <w:gridSpan w:val="2"/>
            <w:tcBorders>
              <w:top w:val="single" w:sz="6" w:space="0" w:color="231F20"/>
              <w:left w:val="single" w:sz="4"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BB6310">
            <w:pPr>
              <w:spacing w:before="37" w:after="0" w:line="260" w:lineRule="exact"/>
              <w:ind w:left="265" w:right="270" w:hanging="157"/>
            </w:pPr>
            <w:r>
              <w:rPr>
                <w:rFonts w:ascii="Garamond" w:eastAsia="Myriad Pro" w:hAnsi="Garamond" w:cs="Myriad Pro"/>
                <w:color w:val="231F20"/>
                <w:sz w:val="24"/>
                <w:szCs w:val="24"/>
              </w:rPr>
              <w:t xml:space="preserve">– </w:t>
            </w:r>
            <w:r>
              <w:rPr>
                <w:rFonts w:ascii="Garamond" w:eastAsia="Myriad Pro" w:hAnsi="Garamond" w:cs="Myriad Pro"/>
                <w:color w:val="231F20"/>
                <w:spacing w:val="-2"/>
                <w:sz w:val="24"/>
                <w:szCs w:val="24"/>
              </w:rPr>
              <w:t>r</w:t>
            </w:r>
            <w:r>
              <w:rPr>
                <w:rFonts w:ascii="Garamond" w:eastAsia="Myriad Pro" w:hAnsi="Garamond" w:cs="Myriad Pro"/>
                <w:color w:val="231F20"/>
                <w:sz w:val="24"/>
                <w:szCs w:val="24"/>
              </w:rPr>
              <w:t>ok zaprimanja odg</w:t>
            </w:r>
            <w:r>
              <w:rPr>
                <w:rFonts w:ascii="Garamond" w:eastAsia="Myriad Pro" w:hAnsi="Garamond" w:cs="Myriad Pro"/>
                <w:color w:val="231F20"/>
                <w:spacing w:val="-2"/>
                <w:sz w:val="24"/>
                <w:szCs w:val="24"/>
              </w:rPr>
              <w:t>ov</w:t>
            </w:r>
            <w:r>
              <w:rPr>
                <w:rFonts w:ascii="Garamond" w:eastAsia="Myriad Pro" w:hAnsi="Garamond" w:cs="Myriad Pro"/>
                <w:color w:val="231F20"/>
                <w:sz w:val="24"/>
                <w:szCs w:val="24"/>
              </w:rPr>
              <w:t xml:space="preserve">ora i način na koji </w:t>
            </w:r>
            <w:r>
              <w:rPr>
                <w:rFonts w:ascii="Garamond" w:eastAsia="Myriad Pro" w:hAnsi="Garamond" w:cs="Myriad Pro"/>
                <w:color w:val="231F20"/>
                <w:spacing w:val="-1"/>
                <w:sz w:val="24"/>
                <w:szCs w:val="24"/>
              </w:rPr>
              <w:t>ć</w:t>
            </w:r>
            <w:r>
              <w:rPr>
                <w:rFonts w:ascii="Garamond" w:eastAsia="Myriad Pro" w:hAnsi="Garamond" w:cs="Myriad Pro"/>
                <w:color w:val="231F20"/>
                <w:sz w:val="24"/>
                <w:szCs w:val="24"/>
              </w:rPr>
              <w:t>e biti pru</w:t>
            </w:r>
            <w:r>
              <w:rPr>
                <w:rFonts w:ascii="Garamond" w:eastAsia="Myriad Pro" w:hAnsi="Garamond" w:cs="Myriad Pro"/>
                <w:color w:val="231F20"/>
                <w:spacing w:val="-2"/>
                <w:sz w:val="24"/>
                <w:szCs w:val="24"/>
              </w:rPr>
              <w:t>ž</w:t>
            </w:r>
            <w:r>
              <w:rPr>
                <w:rFonts w:ascii="Garamond" w:eastAsia="Myriad Pro" w:hAnsi="Garamond" w:cs="Myriad Pro"/>
                <w:color w:val="231F20"/>
                <w:sz w:val="24"/>
                <w:szCs w:val="24"/>
              </w:rPr>
              <w:t>ena p</w:t>
            </w:r>
            <w:r>
              <w:rPr>
                <w:rFonts w:ascii="Garamond" w:eastAsia="Myriad Pro" w:hAnsi="Garamond" w:cs="Myriad Pro"/>
                <w:color w:val="231F20"/>
                <w:spacing w:val="-2"/>
                <w:sz w:val="24"/>
                <w:szCs w:val="24"/>
              </w:rPr>
              <w:t>o</w:t>
            </w:r>
            <w:r>
              <w:rPr>
                <w:rFonts w:ascii="Garamond" w:eastAsia="Myriad Pro" w:hAnsi="Garamond" w:cs="Myriad Pro"/>
                <w:color w:val="231F20"/>
                <w:sz w:val="24"/>
                <w:szCs w:val="24"/>
              </w:rPr>
              <w:t>vratna in</w:t>
            </w:r>
            <w:r>
              <w:rPr>
                <w:rFonts w:ascii="Garamond" w:eastAsia="Myriad Pro" w:hAnsi="Garamond" w:cs="Myriad Pro"/>
                <w:color w:val="231F20"/>
                <w:spacing w:val="-3"/>
                <w:sz w:val="24"/>
                <w:szCs w:val="24"/>
              </w:rPr>
              <w:t>f</w:t>
            </w:r>
            <w:r>
              <w:rPr>
                <w:rFonts w:ascii="Garamond" w:eastAsia="Myriad Pro" w:hAnsi="Garamond" w:cs="Myriad Pro"/>
                <w:color w:val="231F20"/>
                <w:sz w:val="24"/>
                <w:szCs w:val="24"/>
              </w:rPr>
              <w:t xml:space="preserve">ormacija: Savjetovanje je otvoreno </w:t>
            </w:r>
            <w:r>
              <w:rPr>
                <w:rFonts w:ascii="Garamond" w:eastAsia="Myriad Pro" w:hAnsi="Garamond" w:cs="Myriad Pro"/>
                <w:b/>
                <w:bCs/>
                <w:color w:val="231F20"/>
                <w:sz w:val="24"/>
                <w:szCs w:val="24"/>
              </w:rPr>
              <w:t>do 10. siječnja 2022. god</w:t>
            </w:r>
            <w:r>
              <w:rPr>
                <w:rFonts w:ascii="Garamond" w:eastAsia="Myriad Pro" w:hAnsi="Garamond" w:cs="Myriad Pro"/>
                <w:b/>
                <w:bCs/>
                <w:color w:val="231F20"/>
                <w:sz w:val="24"/>
                <w:szCs w:val="24"/>
              </w:rPr>
              <w:t>ine</w:t>
            </w:r>
            <w:r>
              <w:rPr>
                <w:rFonts w:ascii="Garamond" w:eastAsia="Myriad Pro" w:hAnsi="Garamond" w:cs="Myriad Pro"/>
                <w:color w:val="231F20"/>
                <w:sz w:val="24"/>
                <w:szCs w:val="24"/>
              </w:rPr>
              <w:t xml:space="preserve"> . Povratne informacije bit će pružene putem Izvješća o provedenom savjetovanju koje će se po zaključenju savjetovanja objaviti na web stranici kao prilog savjetovanja.</w:t>
            </w:r>
          </w:p>
        </w:tc>
      </w:tr>
      <w:tr w:rsidR="005C6FA7">
        <w:tblPrEx>
          <w:tblCellMar>
            <w:top w:w="0" w:type="dxa"/>
            <w:bottom w:w="0" w:type="dxa"/>
          </w:tblCellMar>
        </w:tblPrEx>
        <w:trPr>
          <w:trHeight w:val="1525"/>
        </w:trPr>
        <w:tc>
          <w:tcPr>
            <w:tcW w:w="9634" w:type="dxa"/>
            <w:gridSpan w:val="2"/>
            <w:tcBorders>
              <w:top w:val="single" w:sz="6" w:space="0" w:color="231F20"/>
              <w:left w:val="single" w:sz="4"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BB6310">
            <w:pPr>
              <w:spacing w:before="37" w:after="0" w:line="260" w:lineRule="exact"/>
              <w:ind w:left="265" w:right="1094" w:hanging="157"/>
            </w:pPr>
            <w:r>
              <w:rPr>
                <w:rFonts w:ascii="Garamond" w:eastAsia="Myriad Pro" w:hAnsi="Garamond" w:cs="Myriad Pro"/>
                <w:color w:val="231F20"/>
                <w:sz w:val="24"/>
                <w:szCs w:val="24"/>
              </w:rPr>
              <w:t>– im</w:t>
            </w:r>
            <w:r>
              <w:rPr>
                <w:rFonts w:ascii="Garamond" w:eastAsia="Myriad Pro" w:hAnsi="Garamond" w:cs="Myriad Pro"/>
                <w:color w:val="231F20"/>
                <w:spacing w:val="-3"/>
                <w:sz w:val="24"/>
                <w:szCs w:val="24"/>
              </w:rPr>
              <w:t>e</w:t>
            </w:r>
            <w:r>
              <w:rPr>
                <w:rFonts w:ascii="Garamond" w:eastAsia="Myriad Pro" w:hAnsi="Garamond" w:cs="Myriad Pro"/>
                <w:color w:val="231F20"/>
                <w:sz w:val="24"/>
                <w:szCs w:val="24"/>
              </w:rPr>
              <w:t>, ad</w:t>
            </w:r>
            <w:r>
              <w:rPr>
                <w:rFonts w:ascii="Garamond" w:eastAsia="Myriad Pro" w:hAnsi="Garamond" w:cs="Myriad Pro"/>
                <w:color w:val="231F20"/>
                <w:spacing w:val="-2"/>
                <w:sz w:val="24"/>
                <w:szCs w:val="24"/>
              </w:rPr>
              <w:t>r</w:t>
            </w:r>
            <w:r>
              <w:rPr>
                <w:rFonts w:ascii="Garamond" w:eastAsia="Myriad Pro" w:hAnsi="Garamond" w:cs="Myriad Pro"/>
                <w:color w:val="231F20"/>
                <w:sz w:val="24"/>
                <w:szCs w:val="24"/>
              </w:rPr>
              <w:t>esa, b</w:t>
            </w:r>
            <w:r>
              <w:rPr>
                <w:rFonts w:ascii="Garamond" w:eastAsia="Myriad Pro" w:hAnsi="Garamond" w:cs="Myriad Pro"/>
                <w:color w:val="231F20"/>
                <w:spacing w:val="-2"/>
                <w:sz w:val="24"/>
                <w:szCs w:val="24"/>
              </w:rPr>
              <w:t>r</w:t>
            </w:r>
            <w:r>
              <w:rPr>
                <w:rFonts w:ascii="Garamond" w:eastAsia="Myriad Pro" w:hAnsi="Garamond" w:cs="Myriad Pro"/>
                <w:color w:val="231F20"/>
                <w:sz w:val="24"/>
                <w:szCs w:val="24"/>
              </w:rPr>
              <w:t xml:space="preserve">oj </w:t>
            </w:r>
            <w:r>
              <w:rPr>
                <w:rFonts w:ascii="Garamond" w:eastAsia="Myriad Pro" w:hAnsi="Garamond" w:cs="Myriad Pro"/>
                <w:color w:val="231F20"/>
                <w:spacing w:val="-1"/>
                <w:sz w:val="24"/>
                <w:szCs w:val="24"/>
              </w:rPr>
              <w:t>t</w:t>
            </w:r>
            <w:r>
              <w:rPr>
                <w:rFonts w:ascii="Garamond" w:eastAsia="Myriad Pro" w:hAnsi="Garamond" w:cs="Myriad Pro"/>
                <w:color w:val="231F20"/>
                <w:sz w:val="24"/>
                <w:szCs w:val="24"/>
              </w:rPr>
              <w:t>ele</w:t>
            </w:r>
            <w:r>
              <w:rPr>
                <w:rFonts w:ascii="Garamond" w:eastAsia="Myriad Pro" w:hAnsi="Garamond" w:cs="Myriad Pro"/>
                <w:color w:val="231F20"/>
                <w:spacing w:val="-3"/>
                <w:sz w:val="24"/>
                <w:szCs w:val="24"/>
              </w:rPr>
              <w:t>f</w:t>
            </w:r>
            <w:r>
              <w:rPr>
                <w:rFonts w:ascii="Garamond" w:eastAsia="Myriad Pro" w:hAnsi="Garamond" w:cs="Myriad Pro"/>
                <w:color w:val="231F20"/>
                <w:sz w:val="24"/>
                <w:szCs w:val="24"/>
              </w:rPr>
              <w:t xml:space="preserve">ona i </w:t>
            </w:r>
            <w:r>
              <w:rPr>
                <w:rFonts w:ascii="Garamond" w:eastAsia="Myriad Pro" w:hAnsi="Garamond" w:cs="Myriad Pro"/>
                <w:color w:val="231F20"/>
                <w:spacing w:val="6"/>
                <w:sz w:val="24"/>
                <w:szCs w:val="24"/>
              </w:rPr>
              <w:t>e</w:t>
            </w:r>
            <w:r>
              <w:rPr>
                <w:rFonts w:ascii="Garamond" w:eastAsia="Myriad Pro" w:hAnsi="Garamond" w:cs="Myriad Pro"/>
                <w:color w:val="231F20"/>
                <w:sz w:val="24"/>
                <w:szCs w:val="24"/>
              </w:rPr>
              <w:t>-mail ad</w:t>
            </w:r>
            <w:r>
              <w:rPr>
                <w:rFonts w:ascii="Garamond" w:eastAsia="Myriad Pro" w:hAnsi="Garamond" w:cs="Myriad Pro"/>
                <w:color w:val="231F20"/>
                <w:spacing w:val="-2"/>
                <w:sz w:val="24"/>
                <w:szCs w:val="24"/>
              </w:rPr>
              <w:t>r</w:t>
            </w:r>
            <w:r>
              <w:rPr>
                <w:rFonts w:ascii="Garamond" w:eastAsia="Myriad Pro" w:hAnsi="Garamond" w:cs="Myriad Pro"/>
                <w:color w:val="231F20"/>
                <w:sz w:val="24"/>
                <w:szCs w:val="24"/>
              </w:rPr>
              <w:t>esa osobe kojoj se sudionici s</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vje</w:t>
            </w:r>
            <w:r>
              <w:rPr>
                <w:rFonts w:ascii="Garamond" w:eastAsia="Myriad Pro" w:hAnsi="Garamond" w:cs="Myriad Pro"/>
                <w:color w:val="231F20"/>
                <w:spacing w:val="-1"/>
                <w:sz w:val="24"/>
                <w:szCs w:val="24"/>
              </w:rPr>
              <w:t>t</w:t>
            </w:r>
            <w:r>
              <w:rPr>
                <w:rFonts w:ascii="Garamond" w:eastAsia="Myriad Pro" w:hAnsi="Garamond" w:cs="Myriad Pro"/>
                <w:color w:val="231F20"/>
                <w:spacing w:val="-2"/>
                <w:sz w:val="24"/>
                <w:szCs w:val="24"/>
              </w:rPr>
              <w:t>o</w:t>
            </w:r>
            <w:r>
              <w:rPr>
                <w:rFonts w:ascii="Garamond" w:eastAsia="Myriad Pro" w:hAnsi="Garamond" w:cs="Myriad Pro"/>
                <w:color w:val="231F20"/>
                <w:spacing w:val="-1"/>
                <w:sz w:val="24"/>
                <w:szCs w:val="24"/>
              </w:rPr>
              <w:t>v</w:t>
            </w:r>
            <w:r>
              <w:rPr>
                <w:rFonts w:ascii="Garamond" w:eastAsia="Myriad Pro" w:hAnsi="Garamond" w:cs="Myriad Pro"/>
                <w:color w:val="231F20"/>
                <w:sz w:val="24"/>
                <w:szCs w:val="24"/>
              </w:rPr>
              <w:t xml:space="preserve">anja </w:t>
            </w:r>
            <w:r>
              <w:rPr>
                <w:rFonts w:ascii="Garamond" w:eastAsia="Myriad Pro" w:hAnsi="Garamond" w:cs="Myriad Pro"/>
                <w:color w:val="231F20"/>
                <w:sz w:val="24"/>
                <w:szCs w:val="24"/>
              </w:rPr>
              <w:t>mogu obratiti za dodatne upi</w:t>
            </w:r>
            <w:r>
              <w:rPr>
                <w:rFonts w:ascii="Garamond" w:eastAsia="Myriad Pro" w:hAnsi="Garamond" w:cs="Myriad Pro"/>
                <w:color w:val="231F20"/>
                <w:spacing w:val="-1"/>
                <w:sz w:val="24"/>
                <w:szCs w:val="24"/>
              </w:rPr>
              <w:t>t</w:t>
            </w:r>
            <w:r>
              <w:rPr>
                <w:rFonts w:ascii="Garamond" w:eastAsia="Myriad Pro" w:hAnsi="Garamond" w:cs="Myriad Pro"/>
                <w:color w:val="231F20"/>
                <w:sz w:val="24"/>
                <w:szCs w:val="24"/>
              </w:rPr>
              <w:t>e: Za sve dodatne upite, sudionici savjetovanja mogu se obratiti Anamarija Rimay Bjelobaba, dipl.iur., viši stručni suradnik za pravne poslove, pismeno na adresu Općine Punat, Novi put 2, 51521 Punat ili putem elektronske pošte</w:t>
            </w:r>
            <w:r>
              <w:rPr>
                <w:rFonts w:ascii="Garamond" w:eastAsia="Myriad Pro" w:hAnsi="Garamond" w:cs="Myriad Pro"/>
                <w:color w:val="231F20"/>
                <w:sz w:val="24"/>
                <w:szCs w:val="24"/>
              </w:rPr>
              <w:t xml:space="preserve"> na e-mail adresu: </w:t>
            </w:r>
            <w:r>
              <w:rPr>
                <w:rFonts w:ascii="Garamond" w:eastAsia="Myriad Pro" w:hAnsi="Garamond" w:cs="Myriad Pro"/>
                <w:sz w:val="24"/>
                <w:szCs w:val="24"/>
              </w:rPr>
              <w:t>anamarija.rimay@punat.hr</w:t>
            </w:r>
          </w:p>
          <w:p w:rsidR="005C6FA7" w:rsidRDefault="005C6FA7">
            <w:pPr>
              <w:spacing w:before="37" w:after="0" w:line="260" w:lineRule="exact"/>
              <w:ind w:left="265" w:right="1094" w:hanging="157"/>
              <w:rPr>
                <w:rFonts w:ascii="Garamond" w:eastAsia="Myriad Pro" w:hAnsi="Garamond" w:cs="Myriad Pro"/>
                <w:sz w:val="24"/>
                <w:szCs w:val="24"/>
              </w:rPr>
            </w:pPr>
          </w:p>
        </w:tc>
      </w:tr>
      <w:tr w:rsidR="005C6FA7">
        <w:tblPrEx>
          <w:tblCellMar>
            <w:top w:w="0" w:type="dxa"/>
            <w:bottom w:w="0" w:type="dxa"/>
          </w:tblCellMar>
        </w:tblPrEx>
        <w:trPr>
          <w:trHeight w:val="1434"/>
        </w:trPr>
        <w:tc>
          <w:tcPr>
            <w:tcW w:w="9634" w:type="dxa"/>
            <w:gridSpan w:val="2"/>
            <w:tcBorders>
              <w:top w:val="single" w:sz="6" w:space="0" w:color="231F20"/>
              <w:left w:val="single" w:sz="4" w:space="0" w:color="231F20"/>
              <w:bottom w:val="single" w:sz="6" w:space="0" w:color="231F20"/>
              <w:right w:val="single" w:sz="4" w:space="0" w:color="231F20"/>
            </w:tcBorders>
            <w:shd w:val="clear" w:color="auto" w:fill="D5DCE4"/>
            <w:tcMar>
              <w:top w:w="0" w:type="dxa"/>
              <w:left w:w="0" w:type="dxa"/>
              <w:bottom w:w="0" w:type="dxa"/>
              <w:right w:w="0" w:type="dxa"/>
            </w:tcMar>
          </w:tcPr>
          <w:p w:rsidR="005C6FA7" w:rsidRDefault="00BB6310">
            <w:pPr>
              <w:spacing w:before="37" w:after="0" w:line="260" w:lineRule="exact"/>
              <w:ind w:left="265" w:right="1050" w:hanging="157"/>
            </w:pPr>
            <w:r>
              <w:rPr>
                <w:rFonts w:ascii="Garamond" w:eastAsia="Myriad Pro" w:hAnsi="Garamond" w:cs="Myriad Pro"/>
                <w:color w:val="231F20"/>
                <w:sz w:val="24"/>
                <w:szCs w:val="24"/>
              </w:rPr>
              <w:t>– zahtjev onima koji sudjeluju u s</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vje</w:t>
            </w:r>
            <w:r>
              <w:rPr>
                <w:rFonts w:ascii="Garamond" w:eastAsia="Myriad Pro" w:hAnsi="Garamond" w:cs="Myriad Pro"/>
                <w:color w:val="231F20"/>
                <w:spacing w:val="-1"/>
                <w:sz w:val="24"/>
                <w:szCs w:val="24"/>
              </w:rPr>
              <w:t>t</w:t>
            </w:r>
            <w:r>
              <w:rPr>
                <w:rFonts w:ascii="Garamond" w:eastAsia="Myriad Pro" w:hAnsi="Garamond" w:cs="Myriad Pro"/>
                <w:color w:val="231F20"/>
                <w:spacing w:val="-2"/>
                <w:sz w:val="24"/>
                <w:szCs w:val="24"/>
              </w:rPr>
              <w:t>o</w:t>
            </w:r>
            <w:r>
              <w:rPr>
                <w:rFonts w:ascii="Garamond" w:eastAsia="Myriad Pro" w:hAnsi="Garamond" w:cs="Myriad Pro"/>
                <w:color w:val="231F20"/>
                <w:spacing w:val="-1"/>
                <w:sz w:val="24"/>
                <w:szCs w:val="24"/>
              </w:rPr>
              <w:t>v</w:t>
            </w:r>
            <w:r>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w:t>
            </w:r>
            <w:r>
              <w:rPr>
                <w:rFonts w:ascii="Garamond" w:eastAsia="Myriad Pro" w:hAnsi="Garamond" w:cs="Myriad Pro"/>
                <w:color w:val="231F20"/>
                <w:sz w:val="24"/>
                <w:szCs w:val="24"/>
              </w:rPr>
              <w:t>rali – sukladno propisima o zaštiti osobnih podataka isti će biti objavljeni isključivo ukoliko sudionik u savjetovanju tako navede na obrascu za sudjelovanje, odnosno da svoju privolu.</w:t>
            </w:r>
          </w:p>
        </w:tc>
      </w:tr>
      <w:tr w:rsidR="005C6FA7">
        <w:tblPrEx>
          <w:tblCellMar>
            <w:top w:w="0" w:type="dxa"/>
            <w:bottom w:w="0" w:type="dxa"/>
          </w:tblCellMar>
        </w:tblPrEx>
        <w:trPr>
          <w:trHeight w:val="1056"/>
        </w:trPr>
        <w:tc>
          <w:tcPr>
            <w:tcW w:w="9634" w:type="dxa"/>
            <w:gridSpan w:val="2"/>
            <w:tcBorders>
              <w:top w:val="single" w:sz="6" w:space="0" w:color="231F20"/>
              <w:left w:val="single" w:sz="4" w:space="0" w:color="231F20"/>
              <w:bottom w:val="single" w:sz="4" w:space="0" w:color="231F20"/>
              <w:right w:val="single" w:sz="4" w:space="0" w:color="231F20"/>
            </w:tcBorders>
            <w:shd w:val="clear" w:color="auto" w:fill="D5DCE4"/>
            <w:tcMar>
              <w:top w:w="0" w:type="dxa"/>
              <w:left w:w="0" w:type="dxa"/>
              <w:bottom w:w="0" w:type="dxa"/>
              <w:right w:w="0" w:type="dxa"/>
            </w:tcMar>
          </w:tcPr>
          <w:p w:rsidR="005C6FA7" w:rsidRDefault="00BB6310">
            <w:pPr>
              <w:spacing w:before="37" w:after="0" w:line="260" w:lineRule="exact"/>
              <w:ind w:left="265" w:right="598" w:hanging="157"/>
            </w:pPr>
            <w:r>
              <w:rPr>
                <w:rFonts w:ascii="Garamond" w:eastAsia="Myriad Pro" w:hAnsi="Garamond" w:cs="Myriad Pro"/>
                <w:color w:val="231F20"/>
                <w:sz w:val="24"/>
                <w:szCs w:val="24"/>
              </w:rPr>
              <w:t>– dostupnost odgovora: Odg</w:t>
            </w:r>
            <w:r>
              <w:rPr>
                <w:rFonts w:ascii="Garamond" w:eastAsia="Myriad Pro" w:hAnsi="Garamond" w:cs="Myriad Pro"/>
                <w:color w:val="231F20"/>
                <w:spacing w:val="-2"/>
                <w:sz w:val="24"/>
                <w:szCs w:val="24"/>
              </w:rPr>
              <w:t>ov</w:t>
            </w:r>
            <w:r>
              <w:rPr>
                <w:rFonts w:ascii="Garamond" w:eastAsia="Myriad Pro" w:hAnsi="Garamond" w:cs="Myriad Pro"/>
                <w:color w:val="231F20"/>
                <w:sz w:val="24"/>
                <w:szCs w:val="24"/>
              </w:rPr>
              <w:t xml:space="preserve">ori će biti dostupni na službenoj web </w:t>
            </w:r>
            <w:r>
              <w:rPr>
                <w:rFonts w:ascii="Garamond" w:eastAsia="Myriad Pro" w:hAnsi="Garamond" w:cs="Myriad Pro"/>
                <w:color w:val="231F20"/>
                <w:sz w:val="24"/>
                <w:szCs w:val="24"/>
              </w:rPr>
              <w:t xml:space="preserve">stranici Općine Punat u sklopu Izvješća o provedenom savjetovanju, osim </w:t>
            </w:r>
            <w:r>
              <w:rPr>
                <w:rFonts w:ascii="Garamond" w:eastAsia="Myriad Pro" w:hAnsi="Garamond" w:cs="Myriad Pro"/>
                <w:color w:val="231F20"/>
                <w:spacing w:val="4"/>
                <w:sz w:val="24"/>
                <w:szCs w:val="24"/>
              </w:rPr>
              <w:t>k</w:t>
            </w:r>
            <w:r>
              <w:rPr>
                <w:rFonts w:ascii="Garamond" w:eastAsia="Myriad Pro" w:hAnsi="Garamond" w:cs="Myriad Pro"/>
                <w:color w:val="231F20"/>
                <w:sz w:val="24"/>
                <w:szCs w:val="24"/>
              </w:rPr>
              <w:t>ada je onaj koji je poslao odg</w:t>
            </w:r>
            <w:r>
              <w:rPr>
                <w:rFonts w:ascii="Garamond" w:eastAsia="Myriad Pro" w:hAnsi="Garamond" w:cs="Myriad Pro"/>
                <w:color w:val="231F20"/>
                <w:spacing w:val="-2"/>
                <w:sz w:val="24"/>
                <w:szCs w:val="24"/>
              </w:rPr>
              <w:t>ov</w:t>
            </w:r>
            <w:r>
              <w:rPr>
                <w:rFonts w:ascii="Garamond" w:eastAsia="Myriad Pro" w:hAnsi="Garamond" w:cs="Myriad Pro"/>
                <w:color w:val="231F20"/>
                <w:sz w:val="24"/>
                <w:szCs w:val="24"/>
              </w:rPr>
              <w:t>or tražio da podaci ostanu p</w:t>
            </w:r>
            <w:r>
              <w:rPr>
                <w:rFonts w:ascii="Garamond" w:eastAsia="Myriad Pro" w:hAnsi="Garamond" w:cs="Myriad Pro"/>
                <w:color w:val="231F20"/>
                <w:spacing w:val="-2"/>
                <w:sz w:val="24"/>
                <w:szCs w:val="24"/>
              </w:rPr>
              <w:t>o</w:t>
            </w:r>
            <w:r>
              <w:rPr>
                <w:rFonts w:ascii="Garamond" w:eastAsia="Myriad Pro" w:hAnsi="Garamond" w:cs="Myriad Pro"/>
                <w:color w:val="231F20"/>
                <w:sz w:val="24"/>
                <w:szCs w:val="24"/>
              </w:rPr>
              <w:t>vjerljivi</w:t>
            </w:r>
          </w:p>
        </w:tc>
      </w:tr>
      <w:tr w:rsidR="005C6FA7">
        <w:tblPrEx>
          <w:tblCellMar>
            <w:top w:w="0" w:type="dxa"/>
            <w:bottom w:w="0" w:type="dxa"/>
          </w:tblCellMar>
        </w:tblPrEx>
        <w:trPr>
          <w:trHeight w:val="639"/>
        </w:trPr>
        <w:tc>
          <w:tcPr>
            <w:tcW w:w="9634" w:type="dxa"/>
            <w:gridSpan w:val="2"/>
            <w:tcBorders>
              <w:top w:val="single" w:sz="4" w:space="0" w:color="231F20"/>
              <w:left w:val="single" w:sz="4" w:space="0" w:color="231F20"/>
              <w:bottom w:val="single" w:sz="4" w:space="0" w:color="231F20"/>
              <w:right w:val="single" w:sz="4" w:space="0" w:color="231F20"/>
            </w:tcBorders>
            <w:shd w:val="clear" w:color="auto" w:fill="D5DCE4"/>
            <w:tcMar>
              <w:top w:w="0" w:type="dxa"/>
              <w:left w:w="0" w:type="dxa"/>
              <w:bottom w:w="0" w:type="dxa"/>
              <w:right w:w="0" w:type="dxa"/>
            </w:tcMar>
          </w:tcPr>
          <w:p w:rsidR="005C6FA7" w:rsidRDefault="00BB6310">
            <w:pPr>
              <w:spacing w:before="37" w:after="0" w:line="260" w:lineRule="exact"/>
              <w:ind w:left="265" w:right="1154" w:hanging="157"/>
            </w:pPr>
            <w:r>
              <w:rPr>
                <w:rFonts w:ascii="Garamond" w:eastAsia="Myriad Pro" w:hAnsi="Garamond" w:cs="Myriad Pro"/>
                <w:color w:val="231F20"/>
                <w:sz w:val="24"/>
                <w:szCs w:val="24"/>
              </w:rPr>
              <w:t>– p</w:t>
            </w:r>
            <w:r>
              <w:rPr>
                <w:rFonts w:ascii="Garamond" w:eastAsia="Myriad Pro" w:hAnsi="Garamond" w:cs="Myriad Pro"/>
                <w:color w:val="231F20"/>
                <w:spacing w:val="-2"/>
                <w:sz w:val="24"/>
                <w:szCs w:val="24"/>
              </w:rPr>
              <w:t>o</w:t>
            </w:r>
            <w:r>
              <w:rPr>
                <w:rFonts w:ascii="Garamond" w:eastAsia="Myriad Pro" w:hAnsi="Garamond" w:cs="Myriad Pro"/>
                <w:color w:val="231F20"/>
                <w:sz w:val="24"/>
                <w:szCs w:val="24"/>
              </w:rPr>
              <w:t>zivaju se sudionici savjetovanja na dost</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vu p</w:t>
            </w:r>
            <w:r>
              <w:rPr>
                <w:rFonts w:ascii="Garamond" w:eastAsia="Myriad Pro" w:hAnsi="Garamond" w:cs="Myriad Pro"/>
                <w:color w:val="231F20"/>
                <w:spacing w:val="-2"/>
                <w:sz w:val="24"/>
                <w:szCs w:val="24"/>
              </w:rPr>
              <w:t>o</w:t>
            </w:r>
            <w:r>
              <w:rPr>
                <w:rFonts w:ascii="Garamond" w:eastAsia="Myriad Pro" w:hAnsi="Garamond" w:cs="Myriad Pro"/>
                <w:color w:val="231F20"/>
                <w:sz w:val="24"/>
                <w:szCs w:val="24"/>
              </w:rPr>
              <w:t>vratnih in</w:t>
            </w:r>
            <w:r>
              <w:rPr>
                <w:rFonts w:ascii="Garamond" w:eastAsia="Myriad Pro" w:hAnsi="Garamond" w:cs="Myriad Pro"/>
                <w:color w:val="231F20"/>
                <w:spacing w:val="-3"/>
                <w:sz w:val="24"/>
                <w:szCs w:val="24"/>
              </w:rPr>
              <w:t>f</w:t>
            </w:r>
            <w:r>
              <w:rPr>
                <w:rFonts w:ascii="Garamond" w:eastAsia="Myriad Pro" w:hAnsi="Garamond" w:cs="Myriad Pro"/>
                <w:color w:val="231F20"/>
                <w:sz w:val="24"/>
                <w:szCs w:val="24"/>
              </w:rPr>
              <w:t>ormacija o samom p</w:t>
            </w:r>
            <w:r>
              <w:rPr>
                <w:rFonts w:ascii="Garamond" w:eastAsia="Myriad Pro" w:hAnsi="Garamond" w:cs="Myriad Pro"/>
                <w:color w:val="231F20"/>
                <w:spacing w:val="-2"/>
                <w:sz w:val="24"/>
                <w:szCs w:val="24"/>
              </w:rPr>
              <w:t>r</w:t>
            </w:r>
            <w:r>
              <w:rPr>
                <w:rFonts w:ascii="Garamond" w:eastAsia="Myriad Pro" w:hAnsi="Garamond" w:cs="Myriad Pro"/>
                <w:color w:val="231F20"/>
                <w:sz w:val="24"/>
                <w:szCs w:val="24"/>
              </w:rPr>
              <w:t>o</w:t>
            </w:r>
            <w:r>
              <w:rPr>
                <w:rFonts w:ascii="Garamond" w:eastAsia="Myriad Pro" w:hAnsi="Garamond" w:cs="Myriad Pro"/>
                <w:color w:val="231F20"/>
                <w:spacing w:val="-1"/>
                <w:sz w:val="24"/>
                <w:szCs w:val="24"/>
              </w:rPr>
              <w:t>c</w:t>
            </w:r>
            <w:r>
              <w:rPr>
                <w:rFonts w:ascii="Garamond" w:eastAsia="Myriad Pro" w:hAnsi="Garamond" w:cs="Myriad Pro"/>
                <w:color w:val="231F20"/>
                <w:sz w:val="24"/>
                <w:szCs w:val="24"/>
              </w:rPr>
              <w:t>esu s</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vje</w:t>
            </w:r>
            <w:r>
              <w:rPr>
                <w:rFonts w:ascii="Garamond" w:eastAsia="Myriad Pro" w:hAnsi="Garamond" w:cs="Myriad Pro"/>
                <w:color w:val="231F20"/>
                <w:spacing w:val="-1"/>
                <w:sz w:val="24"/>
                <w:szCs w:val="24"/>
              </w:rPr>
              <w:t>t</w:t>
            </w:r>
            <w:r>
              <w:rPr>
                <w:rFonts w:ascii="Garamond" w:eastAsia="Myriad Pro" w:hAnsi="Garamond" w:cs="Myriad Pro"/>
                <w:color w:val="231F20"/>
                <w:spacing w:val="-2"/>
                <w:sz w:val="24"/>
                <w:szCs w:val="24"/>
              </w:rPr>
              <w:t>o</w:t>
            </w:r>
            <w:r>
              <w:rPr>
                <w:rFonts w:ascii="Garamond" w:eastAsia="Myriad Pro" w:hAnsi="Garamond" w:cs="Myriad Pro"/>
                <w:color w:val="231F20"/>
                <w:spacing w:val="-1"/>
                <w:sz w:val="24"/>
                <w:szCs w:val="24"/>
              </w:rPr>
              <w:t>v</w:t>
            </w:r>
            <w:r>
              <w:rPr>
                <w:rFonts w:ascii="Garamond" w:eastAsia="Myriad Pro" w:hAnsi="Garamond" w:cs="Myriad Pro"/>
                <w:color w:val="231F20"/>
                <w:sz w:val="24"/>
                <w:szCs w:val="24"/>
              </w:rPr>
              <w:t xml:space="preserve">anja </w:t>
            </w:r>
            <w:r>
              <w:rPr>
                <w:rFonts w:ascii="Garamond" w:eastAsia="Myriad Pro" w:hAnsi="Garamond" w:cs="Myriad Pro"/>
                <w:color w:val="231F20"/>
                <w:spacing w:val="-1"/>
                <w:sz w:val="24"/>
                <w:szCs w:val="24"/>
              </w:rPr>
              <w:t>t</w:t>
            </w:r>
            <w:r>
              <w:rPr>
                <w:rFonts w:ascii="Garamond" w:eastAsia="Myriad Pro" w:hAnsi="Garamond" w:cs="Myriad Pro"/>
                <w:color w:val="231F20"/>
                <w:sz w:val="24"/>
                <w:szCs w:val="24"/>
              </w:rPr>
              <w:t xml:space="preserve">e </w:t>
            </w:r>
            <w:r>
              <w:rPr>
                <w:rFonts w:ascii="Garamond" w:eastAsia="Myriad Pro" w:hAnsi="Garamond" w:cs="Myriad Pro"/>
                <w:color w:val="231F20"/>
                <w:sz w:val="24"/>
                <w:szCs w:val="24"/>
              </w:rPr>
              <w:t>prijedloga za poboljšanje s</w:t>
            </w:r>
            <w:r>
              <w:rPr>
                <w:rFonts w:ascii="Garamond" w:eastAsia="Myriad Pro" w:hAnsi="Garamond" w:cs="Myriad Pro"/>
                <w:color w:val="231F20"/>
                <w:spacing w:val="-2"/>
                <w:sz w:val="24"/>
                <w:szCs w:val="24"/>
              </w:rPr>
              <w:t>a</w:t>
            </w:r>
            <w:r>
              <w:rPr>
                <w:rFonts w:ascii="Garamond" w:eastAsia="Myriad Pro" w:hAnsi="Garamond" w:cs="Myriad Pro"/>
                <w:color w:val="231F20"/>
                <w:sz w:val="24"/>
                <w:szCs w:val="24"/>
              </w:rPr>
              <w:t>vje</w:t>
            </w:r>
            <w:r>
              <w:rPr>
                <w:rFonts w:ascii="Garamond" w:eastAsia="Myriad Pro" w:hAnsi="Garamond" w:cs="Myriad Pro"/>
                <w:color w:val="231F20"/>
                <w:spacing w:val="-1"/>
                <w:sz w:val="24"/>
                <w:szCs w:val="24"/>
              </w:rPr>
              <w:t>t</w:t>
            </w:r>
            <w:r>
              <w:rPr>
                <w:rFonts w:ascii="Garamond" w:eastAsia="Myriad Pro" w:hAnsi="Garamond" w:cs="Myriad Pro"/>
                <w:color w:val="231F20"/>
                <w:spacing w:val="-2"/>
                <w:sz w:val="24"/>
                <w:szCs w:val="24"/>
              </w:rPr>
              <w:t>o</w:t>
            </w:r>
            <w:r>
              <w:rPr>
                <w:rFonts w:ascii="Garamond" w:eastAsia="Myriad Pro" w:hAnsi="Garamond" w:cs="Myriad Pro"/>
                <w:color w:val="231F20"/>
                <w:spacing w:val="-1"/>
                <w:sz w:val="24"/>
                <w:szCs w:val="24"/>
              </w:rPr>
              <w:t>v</w:t>
            </w:r>
            <w:r>
              <w:rPr>
                <w:rFonts w:ascii="Garamond" w:eastAsia="Myriad Pro" w:hAnsi="Garamond" w:cs="Myriad Pro"/>
                <w:color w:val="231F20"/>
                <w:sz w:val="24"/>
                <w:szCs w:val="24"/>
              </w:rPr>
              <w:t>anja u budućnosti. Hvala!</w:t>
            </w:r>
          </w:p>
        </w:tc>
      </w:tr>
    </w:tbl>
    <w:p w:rsidR="005C6FA7" w:rsidRDefault="005C6FA7">
      <w:pPr>
        <w:spacing w:before="7" w:after="0" w:line="120" w:lineRule="exact"/>
        <w:rPr>
          <w:rFonts w:ascii="Garamond" w:hAnsi="Garamond"/>
          <w:sz w:val="24"/>
          <w:szCs w:val="24"/>
        </w:rPr>
      </w:pPr>
    </w:p>
    <w:p w:rsidR="005C6FA7" w:rsidRDefault="005C6FA7">
      <w:pPr>
        <w:rPr>
          <w:rFonts w:ascii="Garamond" w:hAnsi="Garamond"/>
          <w:sz w:val="24"/>
          <w:szCs w:val="24"/>
        </w:rPr>
      </w:pPr>
    </w:p>
    <w:p w:rsidR="005C6FA7" w:rsidRDefault="005C6FA7"/>
    <w:sectPr w:rsidR="005C6FA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10" w:rsidRDefault="00BB6310">
      <w:pPr>
        <w:spacing w:after="0" w:line="240" w:lineRule="auto"/>
      </w:pPr>
      <w:r>
        <w:separator/>
      </w:r>
    </w:p>
  </w:endnote>
  <w:endnote w:type="continuationSeparator" w:id="0">
    <w:p w:rsidR="00BB6310" w:rsidRDefault="00BB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charset w:val="00"/>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10" w:rsidRDefault="00BB6310">
      <w:pPr>
        <w:spacing w:after="0" w:line="240" w:lineRule="auto"/>
      </w:pPr>
      <w:r>
        <w:rPr>
          <w:color w:val="000000"/>
        </w:rPr>
        <w:separator/>
      </w:r>
    </w:p>
  </w:footnote>
  <w:footnote w:type="continuationSeparator" w:id="0">
    <w:p w:rsidR="00BB6310" w:rsidRDefault="00BB6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A07ED"/>
    <w:multiLevelType w:val="multilevel"/>
    <w:tmpl w:val="90C08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C6FA7"/>
    <w:rsid w:val="005C6FA7"/>
    <w:rsid w:val="00BB6310"/>
    <w:rsid w:val="00E212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B0ACF-0E28-4438-9537-5ADC1139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dc:description/>
  <cp:lastModifiedBy>Biserka Lukić</cp:lastModifiedBy>
  <cp:revision>2</cp:revision>
  <dcterms:created xsi:type="dcterms:W3CDTF">2021-12-10T08:17:00Z</dcterms:created>
  <dcterms:modified xsi:type="dcterms:W3CDTF">2021-12-10T08:17:00Z</dcterms:modified>
</cp:coreProperties>
</file>