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30" w:rsidRPr="0096264F" w:rsidRDefault="00796B74" w:rsidP="006260CC">
      <w:pPr>
        <w:ind w:firstLine="360"/>
        <w:jc w:val="right"/>
        <w:rPr>
          <w:b/>
        </w:rPr>
      </w:pPr>
      <w:r>
        <w:rPr>
          <w:b/>
        </w:rPr>
        <w:t>-Prijedlog-</w:t>
      </w:r>
    </w:p>
    <w:p w:rsidR="006260CC" w:rsidRPr="0096264F" w:rsidRDefault="00185EC3" w:rsidP="00185EC3">
      <w:pPr>
        <w:ind w:firstLine="360"/>
        <w:jc w:val="both"/>
      </w:pPr>
      <w:r>
        <w:t>Na t</w:t>
      </w:r>
      <w:r w:rsidR="006260CC" w:rsidRPr="0096264F">
        <w:t>emelj</w:t>
      </w:r>
      <w:r>
        <w:t>u</w:t>
      </w:r>
      <w:r w:rsidR="006260CC" w:rsidRPr="0096264F">
        <w:t xml:space="preserve"> članka </w:t>
      </w:r>
      <w:r w:rsidR="003E7894" w:rsidRPr="0096264F">
        <w:t>78</w:t>
      </w:r>
      <w:r w:rsidR="006260CC" w:rsidRPr="0096264F">
        <w:t xml:space="preserve">. </w:t>
      </w:r>
      <w:r>
        <w:t xml:space="preserve">i 130. </w:t>
      </w:r>
      <w:r w:rsidR="006260CC" w:rsidRPr="0096264F">
        <w:t>Zakona o komunalnom gospodarstvu (</w:t>
      </w:r>
      <w:r>
        <w:t>„</w:t>
      </w:r>
      <w:r w:rsidR="006260CC" w:rsidRPr="0096264F">
        <w:t>N</w:t>
      </w:r>
      <w:r>
        <w:t xml:space="preserve">arodne novine“ broj </w:t>
      </w:r>
      <w:r w:rsidR="00887433" w:rsidRPr="0096264F">
        <w:t>68/18</w:t>
      </w:r>
      <w:r>
        <w:t xml:space="preserve"> i 110/18</w:t>
      </w:r>
      <w:r w:rsidR="006260CC" w:rsidRPr="0096264F">
        <w:t>)</w:t>
      </w:r>
      <w:r w:rsidR="00814097" w:rsidRPr="0096264F">
        <w:t xml:space="preserve"> i</w:t>
      </w:r>
      <w:r w:rsidR="006260CC" w:rsidRPr="0096264F">
        <w:t xml:space="preserve"> članka </w:t>
      </w:r>
      <w:r w:rsidR="00DF7F85">
        <w:t>31</w:t>
      </w:r>
      <w:r w:rsidR="006260CC" w:rsidRPr="0096264F">
        <w:t xml:space="preserve">. Statuta </w:t>
      </w:r>
      <w:r w:rsidR="00DF7F85">
        <w:t>Općine Punat</w:t>
      </w:r>
      <w:r w:rsidR="006260CC" w:rsidRPr="0096264F">
        <w:t xml:space="preserve"> (</w:t>
      </w:r>
      <w:r w:rsidR="0096264F">
        <w:t>„</w:t>
      </w:r>
      <w:r w:rsidR="006260CC" w:rsidRPr="0096264F">
        <w:t>Sl</w:t>
      </w:r>
      <w:r w:rsidR="0096264F">
        <w:t>užbene novine Primorsko-goranske županije“ br</w:t>
      </w:r>
      <w:r>
        <w:t xml:space="preserve">oj </w:t>
      </w:r>
      <w:r w:rsidR="00DF7F85">
        <w:t>8/18</w:t>
      </w:r>
      <w:r w:rsidR="0096264F">
        <w:t>) Općinsko vijeće Općine Punat</w:t>
      </w:r>
      <w:r w:rsidR="006260CC" w:rsidRPr="0096264F">
        <w:t xml:space="preserve"> je na</w:t>
      </w:r>
      <w:r>
        <w:t xml:space="preserve"> ______</w:t>
      </w:r>
      <w:r w:rsidR="006260CC" w:rsidRPr="0096264F">
        <w:t>sjednici održano</w:t>
      </w:r>
      <w:r w:rsidR="00DF7F85">
        <w:t>j ________ 201</w:t>
      </w:r>
      <w:r>
        <w:t>9</w:t>
      </w:r>
      <w:r w:rsidR="00DF7F85">
        <w:t>. godine, don</w:t>
      </w:r>
      <w:r w:rsidR="006260CC" w:rsidRPr="0096264F">
        <w:t>o</w:t>
      </w:r>
      <w:r w:rsidR="00DF7F85">
        <w:t xml:space="preserve">si </w:t>
      </w:r>
    </w:p>
    <w:p w:rsidR="0096264F" w:rsidRPr="0096264F" w:rsidRDefault="0096264F" w:rsidP="006260CC">
      <w:pPr>
        <w:ind w:left="360"/>
      </w:pPr>
    </w:p>
    <w:p w:rsidR="006260CC" w:rsidRPr="0096264F" w:rsidRDefault="006260CC" w:rsidP="006260CC">
      <w:pPr>
        <w:ind w:left="360"/>
        <w:jc w:val="center"/>
        <w:rPr>
          <w:b/>
        </w:rPr>
      </w:pPr>
      <w:r w:rsidRPr="0096264F">
        <w:rPr>
          <w:b/>
        </w:rPr>
        <w:t xml:space="preserve">O D L U K U </w:t>
      </w:r>
    </w:p>
    <w:p w:rsidR="00D65EB3" w:rsidRPr="0096264F" w:rsidRDefault="006260CC" w:rsidP="00BE502C">
      <w:pPr>
        <w:jc w:val="center"/>
        <w:rPr>
          <w:b/>
          <w:iCs/>
          <w:color w:val="000000"/>
        </w:rPr>
      </w:pPr>
      <w:r w:rsidRPr="0096264F">
        <w:rPr>
          <w:b/>
          <w:iCs/>
          <w:color w:val="000000"/>
        </w:rPr>
        <w:t xml:space="preserve">   </w:t>
      </w:r>
      <w:r w:rsidR="00B9094D" w:rsidRPr="0096264F">
        <w:rPr>
          <w:b/>
          <w:iCs/>
          <w:color w:val="000000"/>
        </w:rPr>
        <w:t>o komunalnom doprinosu</w:t>
      </w:r>
    </w:p>
    <w:p w:rsidR="00BE502C" w:rsidRPr="0096264F" w:rsidRDefault="00BE502C" w:rsidP="00BE502C">
      <w:pPr>
        <w:jc w:val="center"/>
        <w:rPr>
          <w:b/>
          <w:iCs/>
          <w:color w:val="000000"/>
        </w:rPr>
      </w:pPr>
    </w:p>
    <w:p w:rsidR="0096264F" w:rsidRPr="0096264F" w:rsidRDefault="0096264F" w:rsidP="00BE502C">
      <w:pPr>
        <w:jc w:val="center"/>
        <w:rPr>
          <w:b/>
          <w:iCs/>
          <w:color w:val="000000"/>
        </w:rPr>
      </w:pPr>
    </w:p>
    <w:p w:rsidR="0096264F" w:rsidRPr="00796B74" w:rsidRDefault="00B9094D" w:rsidP="00212C67">
      <w:pPr>
        <w:jc w:val="both"/>
        <w:outlineLvl w:val="7"/>
        <w:rPr>
          <w:color w:val="000000"/>
        </w:rPr>
      </w:pPr>
      <w:r w:rsidRPr="00185EC3">
        <w:rPr>
          <w:color w:val="000000"/>
        </w:rPr>
        <w:t>I</w:t>
      </w:r>
      <w:r w:rsidR="00BE502C" w:rsidRPr="00185EC3">
        <w:rPr>
          <w:color w:val="000000"/>
        </w:rPr>
        <w:t>.</w:t>
      </w:r>
      <w:r w:rsidR="006260CC" w:rsidRPr="0096264F">
        <w:rPr>
          <w:b/>
          <w:color w:val="000000"/>
        </w:rPr>
        <w:t xml:space="preserve"> </w:t>
      </w:r>
      <w:r w:rsidRPr="00185EC3">
        <w:rPr>
          <w:color w:val="000000"/>
        </w:rPr>
        <w:t>OPĆE ODREDBE</w:t>
      </w:r>
    </w:p>
    <w:p w:rsidR="00D65EB3" w:rsidRPr="004A7562" w:rsidRDefault="00B9094D" w:rsidP="00486135">
      <w:pPr>
        <w:jc w:val="center"/>
        <w:rPr>
          <w:color w:val="000000"/>
        </w:rPr>
      </w:pPr>
      <w:r w:rsidRPr="004A7562">
        <w:rPr>
          <w:color w:val="000000"/>
        </w:rPr>
        <w:t>Članak 1.</w:t>
      </w:r>
    </w:p>
    <w:p w:rsidR="00486135" w:rsidRPr="0096264F" w:rsidRDefault="00486135" w:rsidP="00486135">
      <w:pPr>
        <w:jc w:val="center"/>
        <w:rPr>
          <w:b/>
          <w:color w:val="000000"/>
        </w:rPr>
      </w:pPr>
    </w:p>
    <w:p w:rsidR="00B9094D" w:rsidRPr="0096264F" w:rsidRDefault="00B9094D" w:rsidP="00212C67">
      <w:pPr>
        <w:jc w:val="both"/>
        <w:rPr>
          <w:color w:val="000000"/>
        </w:rPr>
      </w:pPr>
      <w:r w:rsidRPr="0096264F">
        <w:rPr>
          <w:color w:val="000000"/>
        </w:rPr>
        <w:tab/>
        <w:t xml:space="preserve">Ovom </w:t>
      </w:r>
      <w:r w:rsidR="00185EC3">
        <w:rPr>
          <w:color w:val="000000"/>
        </w:rPr>
        <w:t>O</w:t>
      </w:r>
      <w:r w:rsidRPr="0096264F">
        <w:rPr>
          <w:color w:val="000000"/>
        </w:rPr>
        <w:t>dlukom određuju se:</w:t>
      </w:r>
    </w:p>
    <w:p w:rsidR="00B9094D" w:rsidRPr="0096264F" w:rsidRDefault="00B9094D" w:rsidP="00212C67">
      <w:pPr>
        <w:ind w:left="142" w:hanging="142"/>
        <w:jc w:val="both"/>
        <w:rPr>
          <w:color w:val="000000"/>
        </w:rPr>
      </w:pPr>
      <w:r w:rsidRPr="0096264F">
        <w:rPr>
          <w:color w:val="000000"/>
        </w:rPr>
        <w:t>- zon</w:t>
      </w:r>
      <w:r w:rsidR="00185EC3">
        <w:rPr>
          <w:color w:val="000000"/>
        </w:rPr>
        <w:t>e na području Općine Punat</w:t>
      </w:r>
      <w:r w:rsidRPr="0096264F">
        <w:rPr>
          <w:color w:val="000000"/>
        </w:rPr>
        <w:t xml:space="preserve"> za plaćanje komunalnog doprinosa</w:t>
      </w:r>
      <w:r w:rsidR="00185EC3">
        <w:rPr>
          <w:color w:val="000000"/>
        </w:rPr>
        <w:t>,</w:t>
      </w:r>
    </w:p>
    <w:p w:rsidR="00B9094D" w:rsidRDefault="00B9094D" w:rsidP="00212C67">
      <w:pPr>
        <w:ind w:left="142" w:hanging="142"/>
        <w:jc w:val="both"/>
        <w:rPr>
          <w:color w:val="000000"/>
        </w:rPr>
      </w:pPr>
      <w:r w:rsidRPr="0096264F">
        <w:rPr>
          <w:color w:val="000000"/>
        </w:rPr>
        <w:t>- jedinična vrijednost komunalnog doprin</w:t>
      </w:r>
      <w:r w:rsidR="00185EC3">
        <w:rPr>
          <w:color w:val="000000"/>
        </w:rPr>
        <w:t>osa po</w:t>
      </w:r>
      <w:r w:rsidRPr="0096264F">
        <w:rPr>
          <w:color w:val="000000"/>
        </w:rPr>
        <w:t xml:space="preserve"> pojedin</w:t>
      </w:r>
      <w:r w:rsidR="00185EC3">
        <w:rPr>
          <w:color w:val="000000"/>
        </w:rPr>
        <w:t xml:space="preserve">im </w:t>
      </w:r>
      <w:r w:rsidRPr="0096264F">
        <w:rPr>
          <w:color w:val="000000"/>
        </w:rPr>
        <w:t>zon</w:t>
      </w:r>
      <w:r w:rsidR="00185EC3">
        <w:rPr>
          <w:color w:val="000000"/>
        </w:rPr>
        <w:t>ama,</w:t>
      </w:r>
    </w:p>
    <w:p w:rsidR="00D11860" w:rsidRPr="0096264F" w:rsidRDefault="00D11860" w:rsidP="00212C67">
      <w:pPr>
        <w:ind w:left="142" w:hanging="142"/>
        <w:jc w:val="both"/>
        <w:rPr>
          <w:color w:val="000000"/>
        </w:rPr>
      </w:pPr>
      <w:r>
        <w:rPr>
          <w:color w:val="000000"/>
        </w:rPr>
        <w:t>- obračun komunalnog doprinosa,</w:t>
      </w:r>
    </w:p>
    <w:p w:rsidR="00B9094D" w:rsidRPr="0096264F" w:rsidRDefault="00B9094D" w:rsidP="00212C67">
      <w:pPr>
        <w:ind w:left="142" w:hanging="142"/>
        <w:jc w:val="both"/>
        <w:rPr>
          <w:color w:val="000000"/>
        </w:rPr>
      </w:pPr>
      <w:r w:rsidRPr="0096264F">
        <w:rPr>
          <w:color w:val="000000"/>
        </w:rPr>
        <w:t>- način i rokovi plaćanja komunalnog doprinosa</w:t>
      </w:r>
    </w:p>
    <w:p w:rsidR="00B9094D" w:rsidRPr="0096264F" w:rsidRDefault="00B9094D" w:rsidP="00212C67">
      <w:pPr>
        <w:ind w:left="142" w:hanging="142"/>
        <w:jc w:val="both"/>
        <w:rPr>
          <w:color w:val="000000"/>
        </w:rPr>
      </w:pPr>
      <w:r w:rsidRPr="0096264F">
        <w:rPr>
          <w:color w:val="000000"/>
        </w:rPr>
        <w:t>- uvjeti i razlozi zbog kojih se u pojedinačnim slučajevima može odobriti djelomično ili potpuno oslobađanje od plaćanja komunalnog doprinosa</w:t>
      </w:r>
      <w:r w:rsidR="003E7894" w:rsidRPr="0096264F">
        <w:rPr>
          <w:color w:val="000000"/>
        </w:rPr>
        <w:t>.</w:t>
      </w:r>
    </w:p>
    <w:p w:rsidR="00B9094D" w:rsidRDefault="00B9094D" w:rsidP="00212C67">
      <w:pPr>
        <w:ind w:left="142" w:hanging="142"/>
        <w:jc w:val="both"/>
        <w:rPr>
          <w:color w:val="000000"/>
        </w:rPr>
      </w:pPr>
      <w:r w:rsidRPr="0096264F">
        <w:rPr>
          <w:color w:val="000000"/>
        </w:rPr>
        <w:t> </w:t>
      </w:r>
    </w:p>
    <w:p w:rsidR="004A7562" w:rsidRDefault="004A7562" w:rsidP="004A7562">
      <w:pPr>
        <w:ind w:left="142" w:hanging="142"/>
        <w:jc w:val="center"/>
        <w:rPr>
          <w:color w:val="000000"/>
        </w:rPr>
      </w:pPr>
      <w:r>
        <w:rPr>
          <w:color w:val="000000"/>
        </w:rPr>
        <w:t>Članak 2.</w:t>
      </w:r>
    </w:p>
    <w:p w:rsidR="004A7562" w:rsidRPr="0096264F" w:rsidRDefault="004A7562" w:rsidP="004A7562">
      <w:pPr>
        <w:pStyle w:val="BodyText"/>
        <w:spacing w:after="0"/>
        <w:ind w:firstLine="708"/>
        <w:jc w:val="both"/>
      </w:pPr>
      <w:r>
        <w:t>(1)</w:t>
      </w:r>
      <w:r w:rsidRPr="0096264F">
        <w:t xml:space="preserve">Komunalni doprinos je novčano javno davanje koje se plaća za korištenje komunalne infrastrukture na području </w:t>
      </w:r>
      <w:r>
        <w:t>Općine Punat</w:t>
      </w:r>
      <w:r w:rsidRPr="0096264F">
        <w:t xml:space="preserve"> i položajne pogodnosti građevinskog zemljišta u naselju prilikom građenja ili ozakonjenja građevine</w:t>
      </w:r>
      <w:r>
        <w:t>.</w:t>
      </w:r>
    </w:p>
    <w:p w:rsidR="004A7562" w:rsidRPr="0096264F" w:rsidRDefault="004A7562" w:rsidP="004A7562">
      <w:pPr>
        <w:pStyle w:val="BodyText"/>
        <w:spacing w:after="0"/>
        <w:jc w:val="both"/>
      </w:pPr>
      <w:r w:rsidRPr="0096264F">
        <w:rPr>
          <w:color w:val="000000"/>
        </w:rPr>
        <w:tab/>
      </w:r>
      <w:r>
        <w:rPr>
          <w:color w:val="000000"/>
        </w:rPr>
        <w:t>(2)</w:t>
      </w:r>
      <w:r w:rsidRPr="0096264F">
        <w:rPr>
          <w:color w:val="000000"/>
        </w:rPr>
        <w:t xml:space="preserve">Komunalni doprinos je prihod proračuna </w:t>
      </w:r>
      <w:r>
        <w:rPr>
          <w:color w:val="000000"/>
        </w:rPr>
        <w:t>Općine Punat</w:t>
      </w:r>
      <w:r w:rsidRPr="0096264F">
        <w:rPr>
          <w:color w:val="000000"/>
        </w:rPr>
        <w:t xml:space="preserve"> </w:t>
      </w:r>
      <w:r w:rsidRPr="0096264F">
        <w:t xml:space="preserve">koji se koristi samo za financiranje građenja i održavanja komunalne infrastrukture. </w:t>
      </w:r>
    </w:p>
    <w:p w:rsidR="004A7562" w:rsidRPr="0096264F" w:rsidRDefault="004A7562" w:rsidP="004A7562">
      <w:pPr>
        <w:pStyle w:val="BodyText"/>
        <w:spacing w:after="0"/>
        <w:jc w:val="both"/>
        <w:rPr>
          <w:color w:val="000000"/>
        </w:rPr>
      </w:pPr>
      <w:r w:rsidRPr="0096264F">
        <w:rPr>
          <w:color w:val="000000"/>
        </w:rPr>
        <w:tab/>
      </w:r>
      <w:r w:rsidRPr="0096264F">
        <w:rPr>
          <w:color w:val="000000"/>
        </w:rPr>
        <w:tab/>
      </w:r>
    </w:p>
    <w:p w:rsidR="004A7562" w:rsidRPr="004A7562" w:rsidRDefault="004A7562" w:rsidP="004A7562">
      <w:pPr>
        <w:jc w:val="center"/>
        <w:rPr>
          <w:color w:val="000000"/>
        </w:rPr>
      </w:pPr>
      <w:r w:rsidRPr="004A7562">
        <w:rPr>
          <w:color w:val="000000"/>
        </w:rPr>
        <w:t>Članak 3.</w:t>
      </w:r>
    </w:p>
    <w:p w:rsidR="009B3CDA" w:rsidRDefault="009B3CDA" w:rsidP="009B3CDA">
      <w:pPr>
        <w:ind w:firstLine="708"/>
        <w:jc w:val="both"/>
      </w:pPr>
      <w:r>
        <w:rPr>
          <w:color w:val="000000"/>
        </w:rPr>
        <w:t>(1)</w:t>
      </w:r>
      <w:r w:rsidRPr="0096264F">
        <w:rPr>
          <w:color w:val="000000"/>
        </w:rPr>
        <w:t xml:space="preserve">Komunalni doprinos plaća vlasnik </w:t>
      </w:r>
      <w:r w:rsidRPr="0096264F">
        <w:t xml:space="preserve">zemljišta na kojem se gradi građevina ili se nalazi ozakonjena građevina, odnosno investitor ako je na njega pisanim ugovorom prenesena obveza plaćanja komunalnog doprinosa. </w:t>
      </w:r>
    </w:p>
    <w:p w:rsidR="009B3CDA" w:rsidRDefault="009B3CDA" w:rsidP="009B3CDA">
      <w:pPr>
        <w:ind w:firstLine="708"/>
        <w:jc w:val="both"/>
      </w:pPr>
      <w:r>
        <w:t>(2)Ako je zemljište na kojem se gradi građevina ili na kojem se nalazi građevina koja se ozakonjuje u suvlasništvu, komunalni doprinos mora se utvrditi za svakog suvlasnika zasebno, razmjerno njegovom suvlasničkom dijelu, a ukoliko je obveza plaćanja komunalnog doprinosa prenesena na više investitora, komunalni doprinos utvrdit će se za svakog investitora u jednakom dijelu, osim ako razmjerni udio svakog investitora u plaćanju komunalnog d</w:t>
      </w:r>
      <w:r w:rsidR="002E7618">
        <w:t>o</w:t>
      </w:r>
      <w:r>
        <w:t>prinosa nije ugovorom s vlasnikom utvrđen tako da je udio svakog investitora drugačiji.</w:t>
      </w:r>
    </w:p>
    <w:p w:rsidR="004A7562" w:rsidRDefault="004A7562" w:rsidP="009B3CDA">
      <w:pPr>
        <w:rPr>
          <w:b/>
          <w:color w:val="000000"/>
        </w:rPr>
      </w:pPr>
    </w:p>
    <w:p w:rsidR="004A7562" w:rsidRPr="004A7562" w:rsidRDefault="004A7562" w:rsidP="004A7562">
      <w:pPr>
        <w:ind w:left="284" w:hanging="284"/>
        <w:rPr>
          <w:color w:val="000000"/>
        </w:rPr>
      </w:pPr>
      <w:r w:rsidRPr="004A7562">
        <w:t>II.</w:t>
      </w:r>
      <w:r w:rsidRPr="0096264F">
        <w:rPr>
          <w:b/>
        </w:rPr>
        <w:t xml:space="preserve"> </w:t>
      </w:r>
      <w:r w:rsidRPr="004A7562">
        <w:rPr>
          <w:color w:val="000000"/>
        </w:rPr>
        <w:t xml:space="preserve">ZONE ZA PLAĆANJE KOMUNALNOG DOPRINOSA </w:t>
      </w:r>
      <w:r w:rsidR="00D23290">
        <w:rPr>
          <w:color w:val="000000"/>
        </w:rPr>
        <w:t>I JEDINIČNA VRIJEDNOST KOMUNALNOG DOPRINOSA PO ZONAMA</w:t>
      </w:r>
    </w:p>
    <w:p w:rsidR="004A7562" w:rsidRDefault="004A7562" w:rsidP="004A7562">
      <w:pPr>
        <w:rPr>
          <w:b/>
          <w:color w:val="000000"/>
        </w:rPr>
      </w:pPr>
    </w:p>
    <w:p w:rsidR="004A7562" w:rsidRPr="004A7562" w:rsidRDefault="00B9094D" w:rsidP="004A7562">
      <w:pPr>
        <w:jc w:val="center"/>
        <w:rPr>
          <w:color w:val="000000"/>
        </w:rPr>
      </w:pPr>
      <w:r w:rsidRPr="004A7562">
        <w:rPr>
          <w:color w:val="000000"/>
        </w:rPr>
        <w:t xml:space="preserve">Članak </w:t>
      </w:r>
      <w:r w:rsidR="004A7562">
        <w:rPr>
          <w:color w:val="000000"/>
        </w:rPr>
        <w:t>4</w:t>
      </w:r>
      <w:r w:rsidRPr="004A7562">
        <w:rPr>
          <w:color w:val="000000"/>
        </w:rPr>
        <w:t>.</w:t>
      </w:r>
    </w:p>
    <w:p w:rsidR="004A7562" w:rsidRDefault="004A7562" w:rsidP="004A7562">
      <w:pPr>
        <w:ind w:firstLine="708"/>
        <w:jc w:val="both"/>
        <w:rPr>
          <w:color w:val="000000"/>
        </w:rPr>
      </w:pPr>
      <w:r>
        <w:rPr>
          <w:color w:val="000000"/>
        </w:rPr>
        <w:t>Ovisno o pogodnosti položaja na području Općine Punat i stupnju opremljenosti objekata i uređaja komunalne infrastrukture, utvrđuju se sljedeće zone na području Općine Punat za plaćanje komunalnog doprinosa i jedinične vrijednosti komunalnog doprinosa u zoni iskazane u kunama po m³ građevine (kn/m³):</w:t>
      </w:r>
    </w:p>
    <w:p w:rsidR="00796B74" w:rsidRDefault="00796B74" w:rsidP="004A7562">
      <w:pPr>
        <w:ind w:firstLine="708"/>
        <w:jc w:val="both"/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6374"/>
        <w:gridCol w:w="2688"/>
      </w:tblGrid>
      <w:tr w:rsidR="004A7562" w:rsidTr="00796B74">
        <w:tc>
          <w:tcPr>
            <w:tcW w:w="6374" w:type="dxa"/>
          </w:tcPr>
          <w:p w:rsidR="004A7562" w:rsidRDefault="00796B74" w:rsidP="00796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ZONE</w:t>
            </w:r>
          </w:p>
        </w:tc>
        <w:tc>
          <w:tcPr>
            <w:tcW w:w="2688" w:type="dxa"/>
          </w:tcPr>
          <w:p w:rsidR="004A7562" w:rsidRDefault="00796B74" w:rsidP="00796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Jedinična vrijednost komunalnog doprinosa po m</w:t>
            </w:r>
            <w:r>
              <w:rPr>
                <w:rFonts w:cs="Times New Roman"/>
                <w:color w:val="000000"/>
              </w:rPr>
              <w:t>³</w:t>
            </w:r>
            <w:r>
              <w:rPr>
                <w:color w:val="000000"/>
              </w:rPr>
              <w:t xml:space="preserve"> građevine (kn/m</w:t>
            </w:r>
            <w:r>
              <w:rPr>
                <w:rFonts w:cs="Times New Roman"/>
                <w:color w:val="000000"/>
              </w:rPr>
              <w:t>³</w:t>
            </w:r>
            <w:r>
              <w:rPr>
                <w:color w:val="000000"/>
              </w:rPr>
              <w:t>)</w:t>
            </w:r>
          </w:p>
        </w:tc>
      </w:tr>
      <w:tr w:rsidR="004A7562" w:rsidTr="00796B74">
        <w:tc>
          <w:tcPr>
            <w:tcW w:w="6374" w:type="dxa"/>
          </w:tcPr>
          <w:p w:rsidR="004A7562" w:rsidRPr="00796B74" w:rsidRDefault="004A7562" w:rsidP="00796B74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796B74">
              <w:rPr>
                <w:color w:val="000000"/>
              </w:rPr>
              <w:t xml:space="preserve">UPU 1, UPU 2, UPU 3, UPU 4, UPU 5, UPU 6, UPU 8, dio </w:t>
            </w:r>
            <w:r w:rsidRPr="00796B74">
              <w:rPr>
                <w:color w:val="000000"/>
              </w:rPr>
              <w:lastRenderedPageBreak/>
              <w:t xml:space="preserve">UPU 9 naselja Stara Baška koji ima mogućnost spajanja na </w:t>
            </w:r>
            <w:r w:rsidRPr="00796B74">
              <w:t>na vodoopskrbni sustav naselja Stara Baška</w:t>
            </w:r>
            <w:r w:rsidRPr="00796B74">
              <w:rPr>
                <w:color w:val="000000"/>
              </w:rPr>
              <w:t>, UPU 10</w:t>
            </w:r>
          </w:p>
        </w:tc>
        <w:tc>
          <w:tcPr>
            <w:tcW w:w="2688" w:type="dxa"/>
          </w:tcPr>
          <w:p w:rsidR="004A7562" w:rsidRPr="00654A23" w:rsidRDefault="00796B74" w:rsidP="00796B74">
            <w:pPr>
              <w:jc w:val="center"/>
            </w:pPr>
            <w:r w:rsidRPr="00654A23">
              <w:lastRenderedPageBreak/>
              <w:t>138,</w:t>
            </w:r>
            <w:r w:rsidR="00654A23" w:rsidRPr="00654A23">
              <w:t>00</w:t>
            </w:r>
          </w:p>
        </w:tc>
      </w:tr>
      <w:tr w:rsidR="004A7562" w:rsidTr="00796B74">
        <w:tc>
          <w:tcPr>
            <w:tcW w:w="6374" w:type="dxa"/>
          </w:tcPr>
          <w:p w:rsidR="004A7562" w:rsidRPr="00796B74" w:rsidRDefault="00796B74" w:rsidP="00796B74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dio UPU 9 naselja Stara Baška koji nema mogućnost spajanja </w:t>
            </w:r>
            <w:r w:rsidRPr="00956927">
              <w:t>na vodoopskrbni sustav naselja Stara Baška</w:t>
            </w:r>
            <w:r>
              <w:t xml:space="preserve"> (evidencija Ponikve voda d.o.o.)</w:t>
            </w:r>
          </w:p>
        </w:tc>
        <w:tc>
          <w:tcPr>
            <w:tcW w:w="2688" w:type="dxa"/>
          </w:tcPr>
          <w:p w:rsidR="004A7562" w:rsidRPr="00654A23" w:rsidRDefault="00796B74" w:rsidP="00796B74">
            <w:pPr>
              <w:jc w:val="center"/>
            </w:pPr>
            <w:r w:rsidRPr="00654A23">
              <w:t>110,</w:t>
            </w:r>
            <w:r w:rsidR="00654A23" w:rsidRPr="00654A23">
              <w:t>00</w:t>
            </w:r>
          </w:p>
        </w:tc>
      </w:tr>
      <w:tr w:rsidR="004A7562" w:rsidTr="00796B74">
        <w:tc>
          <w:tcPr>
            <w:tcW w:w="6374" w:type="dxa"/>
          </w:tcPr>
          <w:p w:rsidR="004A7562" w:rsidRPr="00796B74" w:rsidRDefault="00796B74" w:rsidP="00796B74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UPU 11</w:t>
            </w:r>
          </w:p>
        </w:tc>
        <w:tc>
          <w:tcPr>
            <w:tcW w:w="2688" w:type="dxa"/>
          </w:tcPr>
          <w:p w:rsidR="004A7562" w:rsidRPr="00654A23" w:rsidRDefault="00796B74" w:rsidP="00796B74">
            <w:pPr>
              <w:jc w:val="center"/>
            </w:pPr>
            <w:r w:rsidRPr="00654A23">
              <w:t>1</w:t>
            </w:r>
            <w:r w:rsidR="00654A23" w:rsidRPr="00654A23">
              <w:t>4,00</w:t>
            </w:r>
          </w:p>
        </w:tc>
      </w:tr>
    </w:tbl>
    <w:p w:rsidR="004A7562" w:rsidRDefault="004A7562" w:rsidP="004A7562">
      <w:pPr>
        <w:ind w:firstLine="708"/>
        <w:jc w:val="both"/>
        <w:rPr>
          <w:color w:val="000000"/>
        </w:rPr>
      </w:pPr>
    </w:p>
    <w:p w:rsidR="009B3CDA" w:rsidRDefault="009B3CDA" w:rsidP="004A7562">
      <w:pPr>
        <w:ind w:firstLine="708"/>
        <w:jc w:val="both"/>
        <w:rPr>
          <w:color w:val="000000"/>
        </w:rPr>
      </w:pPr>
    </w:p>
    <w:p w:rsidR="009B3CDA" w:rsidRPr="00B120C0" w:rsidRDefault="009B3CDA" w:rsidP="00B120C0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B120C0">
        <w:rPr>
          <w:color w:val="000000"/>
        </w:rPr>
        <w:t>OBRAČUN KOMUNALNOG DOPRINOSA</w:t>
      </w:r>
    </w:p>
    <w:p w:rsidR="009B3CDA" w:rsidRDefault="009B3CDA" w:rsidP="009B3CDA">
      <w:pPr>
        <w:pStyle w:val="ListParagraph"/>
        <w:ind w:left="1080"/>
        <w:jc w:val="both"/>
        <w:rPr>
          <w:color w:val="000000"/>
        </w:rPr>
      </w:pPr>
    </w:p>
    <w:p w:rsidR="009B3CDA" w:rsidRPr="00B120C0" w:rsidRDefault="009B3CDA" w:rsidP="00B120C0">
      <w:pPr>
        <w:jc w:val="center"/>
        <w:rPr>
          <w:color w:val="000000"/>
        </w:rPr>
      </w:pPr>
      <w:r w:rsidRPr="009B3CDA">
        <w:rPr>
          <w:color w:val="000000"/>
        </w:rPr>
        <w:t>Članak 5.</w:t>
      </w:r>
    </w:p>
    <w:p w:rsidR="00B120C0" w:rsidRPr="0096264F" w:rsidRDefault="00B120C0" w:rsidP="00B120C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(1)</w:t>
      </w:r>
      <w:r w:rsidRPr="0096264F">
        <w:rPr>
          <w:color w:val="auto"/>
        </w:rPr>
        <w:t>Komunalni doprinos za zgrade obračunava se množenjem obujma zgrade koja se gradi ili je izgrađena</w:t>
      </w:r>
      <w:r>
        <w:rPr>
          <w:color w:val="auto"/>
        </w:rPr>
        <w:t>,</w:t>
      </w:r>
      <w:r w:rsidRPr="0096264F">
        <w:rPr>
          <w:color w:val="auto"/>
        </w:rPr>
        <w:t xml:space="preserve"> izraženog u m³ s jediničnom vrijednošću komunalnog doprinosa u zoni u kojoj se zgrada gradi ili je izgrađena. </w:t>
      </w:r>
    </w:p>
    <w:p w:rsidR="00B120C0" w:rsidRDefault="00B120C0" w:rsidP="00B120C0">
      <w:pPr>
        <w:pStyle w:val="Default"/>
        <w:ind w:firstLine="708"/>
        <w:jc w:val="both"/>
        <w:rPr>
          <w:color w:val="0070C0"/>
        </w:rPr>
      </w:pPr>
      <w:r>
        <w:rPr>
          <w:color w:val="auto"/>
        </w:rPr>
        <w:t>(2)</w:t>
      </w:r>
      <w:r w:rsidRPr="0096264F">
        <w:rPr>
          <w:color w:val="auto"/>
        </w:rPr>
        <w:t>Komunalni doprinos za otvorene bazene</w:t>
      </w:r>
      <w:r w:rsidRPr="0096264F">
        <w:rPr>
          <w:color w:val="0070C0"/>
        </w:rPr>
        <w:t xml:space="preserve"> </w:t>
      </w:r>
      <w:r w:rsidRPr="0096264F">
        <w:rPr>
          <w:color w:val="auto"/>
        </w:rPr>
        <w:t>i druge otvorene građevine te spremnike za naftu</w:t>
      </w:r>
      <w:r w:rsidRPr="0096264F">
        <w:rPr>
          <w:color w:val="FF0000"/>
        </w:rPr>
        <w:t xml:space="preserve"> </w:t>
      </w:r>
      <w:r w:rsidRPr="0096264F">
        <w:rPr>
          <w:color w:val="auto"/>
        </w:rPr>
        <w:t>i druge tekućine s pokrovom</w:t>
      </w:r>
      <w:r w:rsidRPr="0096264F">
        <w:rPr>
          <w:color w:val="0070C0"/>
        </w:rPr>
        <w:t xml:space="preserve"> </w:t>
      </w:r>
      <w:r w:rsidRPr="0096264F">
        <w:rPr>
          <w:color w:val="auto"/>
        </w:rPr>
        <w:t>čija visina se mijenja</w:t>
      </w:r>
      <w:r>
        <w:rPr>
          <w:color w:val="auto"/>
        </w:rPr>
        <w:t>,</w:t>
      </w:r>
      <w:r w:rsidRPr="0096264F">
        <w:rPr>
          <w:color w:val="auto"/>
        </w:rPr>
        <w:t xml:space="preserve"> obračunava se množenjem tlocrtne površine građevine koja se gradi ili je izgrađena izražene u m² s jediničnom vrijednošću komunalnog doprinosa u zoni u kojoj se građevina gradi ili je izgrađena</w:t>
      </w:r>
      <w:r>
        <w:rPr>
          <w:color w:val="auto"/>
        </w:rPr>
        <w:t>.</w:t>
      </w:r>
    </w:p>
    <w:p w:rsidR="00B120C0" w:rsidRPr="0096264F" w:rsidRDefault="00B120C0" w:rsidP="00B120C0">
      <w:pPr>
        <w:pStyle w:val="Default"/>
        <w:ind w:firstLine="708"/>
        <w:jc w:val="both"/>
        <w:rPr>
          <w:color w:val="0070C0"/>
        </w:rPr>
      </w:pPr>
    </w:p>
    <w:p w:rsidR="00B120C0" w:rsidRPr="00B120C0" w:rsidRDefault="00B120C0" w:rsidP="00B120C0">
      <w:pPr>
        <w:pStyle w:val="Default"/>
        <w:jc w:val="center"/>
        <w:rPr>
          <w:bCs/>
          <w:color w:val="auto"/>
        </w:rPr>
      </w:pPr>
      <w:r w:rsidRPr="00B120C0">
        <w:rPr>
          <w:bCs/>
          <w:color w:val="auto"/>
        </w:rPr>
        <w:t>Članak 6.</w:t>
      </w:r>
    </w:p>
    <w:p w:rsidR="00B120C0" w:rsidRPr="0096264F" w:rsidRDefault="00B120C0" w:rsidP="00B120C0">
      <w:pPr>
        <w:jc w:val="both"/>
        <w:rPr>
          <w:color w:val="000000"/>
        </w:rPr>
      </w:pPr>
      <w:r w:rsidRPr="0096264F">
        <w:rPr>
          <w:color w:val="000000"/>
        </w:rPr>
        <w:tab/>
      </w:r>
      <w:r>
        <w:rPr>
          <w:color w:val="000000"/>
        </w:rPr>
        <w:t>(1)</w:t>
      </w:r>
      <w:r w:rsidRPr="0096264F">
        <w:t xml:space="preserve">Ako se postojeća zgrada uklanja zbog građenja nove zgrade ili kada se postojeća zgrada dograđuje ili nadograđuje, komunalni doprinos obračunava </w:t>
      </w:r>
      <w:r>
        <w:t xml:space="preserve">se </w:t>
      </w:r>
      <w:r w:rsidRPr="0096264F">
        <w:t>na razliku u obujmu zgrade u odnosu na prijašnji obujam zgrade.</w:t>
      </w:r>
    </w:p>
    <w:p w:rsidR="00B120C0" w:rsidRPr="0096264F" w:rsidRDefault="00B120C0" w:rsidP="00B120C0">
      <w:pPr>
        <w:ind w:firstLine="708"/>
        <w:jc w:val="both"/>
      </w:pPr>
      <w:r>
        <w:t>(2)</w:t>
      </w:r>
      <w:r w:rsidRPr="0096264F">
        <w:t xml:space="preserve">Ako je obujam zgrade koja se gradi manji ili jednak obujmu postojeće zgrade koja se uklanja ne plaća se komunalni doprinos, a o čemu </w:t>
      </w:r>
      <w:r>
        <w:t>Jedinstveni u</w:t>
      </w:r>
      <w:r w:rsidRPr="0096264F">
        <w:t>pravni odjel donosi rješenje kojim se utvrđuje da ne postoji obveza plaćanja komunalnog doprinosa.</w:t>
      </w:r>
    </w:p>
    <w:p w:rsidR="009A0827" w:rsidRDefault="00B120C0" w:rsidP="00B120C0">
      <w:pPr>
        <w:jc w:val="both"/>
        <w:rPr>
          <w:color w:val="0070C0"/>
        </w:rPr>
      </w:pPr>
      <w:r w:rsidRPr="0096264F">
        <w:rPr>
          <w:color w:val="000000"/>
        </w:rPr>
        <w:tab/>
      </w:r>
      <w:r>
        <w:rPr>
          <w:color w:val="000000"/>
        </w:rPr>
        <w:t>(3)</w:t>
      </w:r>
      <w:r w:rsidRPr="0096264F">
        <w:t>Odredbe ovoga članka na odgovarajući se način primjenjuju i na obračun komunalnog doprinosa za građevine koje nisu zgrade te na obračun komunalnog doprinosa za ozakonjene građevine.</w:t>
      </w:r>
    </w:p>
    <w:p w:rsidR="00575099" w:rsidRPr="00D23290" w:rsidRDefault="00575099" w:rsidP="00D11860">
      <w:pPr>
        <w:pStyle w:val="Default"/>
        <w:jc w:val="both"/>
        <w:rPr>
          <w:color w:val="0070C0"/>
        </w:rPr>
      </w:pPr>
    </w:p>
    <w:p w:rsidR="00D23290" w:rsidRPr="00B120C0" w:rsidRDefault="00D23290" w:rsidP="00B120C0">
      <w:pPr>
        <w:pStyle w:val="ListParagraph"/>
        <w:numPr>
          <w:ilvl w:val="0"/>
          <w:numId w:val="12"/>
        </w:numPr>
        <w:rPr>
          <w:color w:val="000000"/>
        </w:rPr>
      </w:pPr>
      <w:r w:rsidRPr="00B120C0">
        <w:rPr>
          <w:color w:val="000000"/>
        </w:rPr>
        <w:t>NAČIN I ROKOVI PLAĆANJA KOMUNALNOG DOPRINOSA</w:t>
      </w:r>
    </w:p>
    <w:p w:rsidR="00D23290" w:rsidRDefault="00D23290" w:rsidP="00D23290">
      <w:pPr>
        <w:pStyle w:val="Default"/>
        <w:rPr>
          <w:b/>
          <w:bCs/>
          <w:color w:val="auto"/>
        </w:rPr>
      </w:pPr>
    </w:p>
    <w:p w:rsidR="00030D7A" w:rsidRPr="00D23290" w:rsidRDefault="00C3241E" w:rsidP="0035558F">
      <w:pPr>
        <w:pStyle w:val="Default"/>
        <w:jc w:val="center"/>
        <w:rPr>
          <w:bCs/>
          <w:color w:val="auto"/>
        </w:rPr>
      </w:pPr>
      <w:r w:rsidRPr="00D23290">
        <w:rPr>
          <w:bCs/>
          <w:color w:val="auto"/>
        </w:rPr>
        <w:t>Članak</w:t>
      </w:r>
      <w:r w:rsidR="006C1E1F" w:rsidRPr="00D23290">
        <w:rPr>
          <w:bCs/>
          <w:color w:val="auto"/>
        </w:rPr>
        <w:t xml:space="preserve"> </w:t>
      </w:r>
      <w:r w:rsidR="00B120C0">
        <w:rPr>
          <w:bCs/>
          <w:color w:val="auto"/>
        </w:rPr>
        <w:t>7</w:t>
      </w:r>
      <w:r w:rsidR="006C1E1F" w:rsidRPr="00D23290">
        <w:rPr>
          <w:bCs/>
          <w:color w:val="auto"/>
        </w:rPr>
        <w:t>.</w:t>
      </w:r>
    </w:p>
    <w:p w:rsidR="0035558F" w:rsidRDefault="00D23290" w:rsidP="00D11860">
      <w:pPr>
        <w:jc w:val="both"/>
        <w:rPr>
          <w:color w:val="000000"/>
        </w:rPr>
      </w:pPr>
      <w:r w:rsidRPr="0096264F">
        <w:rPr>
          <w:color w:val="000000"/>
        </w:rPr>
        <w:tab/>
      </w:r>
      <w:r w:rsidR="00D11860">
        <w:rPr>
          <w:color w:val="000000"/>
        </w:rPr>
        <w:t>Jedinstveni upravni odjel Općine Punat vodi postupak</w:t>
      </w:r>
      <w:r>
        <w:rPr>
          <w:color w:val="000000"/>
        </w:rPr>
        <w:t xml:space="preserve"> utvrđivanja visine komunalnog doprinosa i </w:t>
      </w:r>
      <w:r w:rsidR="00D11860">
        <w:rPr>
          <w:color w:val="000000"/>
        </w:rPr>
        <w:t xml:space="preserve">donosi </w:t>
      </w:r>
      <w:r>
        <w:rPr>
          <w:color w:val="000000"/>
        </w:rPr>
        <w:t>rješenje o komunalnom doprinosu</w:t>
      </w:r>
      <w:r w:rsidR="00D11860">
        <w:rPr>
          <w:color w:val="000000"/>
        </w:rPr>
        <w:t>.</w:t>
      </w:r>
    </w:p>
    <w:p w:rsidR="00D11860" w:rsidRDefault="00D11860" w:rsidP="00D11860">
      <w:pPr>
        <w:jc w:val="both"/>
      </w:pPr>
    </w:p>
    <w:p w:rsidR="00D23290" w:rsidRDefault="0035558F" w:rsidP="0035558F">
      <w:pPr>
        <w:jc w:val="center"/>
      </w:pPr>
      <w:r>
        <w:t xml:space="preserve">Članak </w:t>
      </w:r>
      <w:r w:rsidR="00B120C0">
        <w:t>8</w:t>
      </w:r>
      <w:r>
        <w:t>.</w:t>
      </w:r>
    </w:p>
    <w:p w:rsidR="00026881" w:rsidRPr="009B3CDA" w:rsidRDefault="00026881" w:rsidP="009B3CDA">
      <w:pPr>
        <w:ind w:firstLine="709"/>
        <w:jc w:val="both"/>
      </w:pPr>
      <w:r>
        <w:t>Obveznik komunalnog doprinosa ima pravo da mu se troškovi njegovog ulaganja u izgradnju komunalne, odnosno druge infrastrukture u skladu sa zakonom kojim se uređuje prostorno planiranje priznaju u iznos komunalnog doprinosa na osnovi suglasnosti</w:t>
      </w:r>
      <w:r w:rsidR="00D11860">
        <w:t xml:space="preserve"> nadležnog tijela određenog Zakonom o lokalnoj i područnoj (regionalnoj) samoupravi</w:t>
      </w:r>
      <w:r>
        <w:t xml:space="preserve"> i uz uvjete koji su utvrđeni ugovorom između obveznika komunalnog doprinosa i Općine Punat.</w:t>
      </w:r>
    </w:p>
    <w:p w:rsidR="00D11860" w:rsidRDefault="00D11860" w:rsidP="00C3241E">
      <w:pPr>
        <w:pStyle w:val="Default"/>
        <w:jc w:val="center"/>
        <w:rPr>
          <w:bCs/>
          <w:color w:val="auto"/>
        </w:rPr>
      </w:pPr>
    </w:p>
    <w:p w:rsidR="00D23290" w:rsidRPr="004A7A2D" w:rsidRDefault="004A7A2D" w:rsidP="00C3241E">
      <w:pPr>
        <w:pStyle w:val="Default"/>
        <w:jc w:val="center"/>
        <w:rPr>
          <w:bCs/>
          <w:color w:val="auto"/>
        </w:rPr>
      </w:pPr>
      <w:r w:rsidRPr="004A7A2D">
        <w:rPr>
          <w:bCs/>
          <w:color w:val="auto"/>
        </w:rPr>
        <w:t xml:space="preserve">Članak </w:t>
      </w:r>
      <w:r w:rsidR="00B120C0">
        <w:rPr>
          <w:bCs/>
          <w:color w:val="auto"/>
        </w:rPr>
        <w:t>9</w:t>
      </w:r>
      <w:r w:rsidRPr="004A7A2D">
        <w:rPr>
          <w:bCs/>
          <w:color w:val="auto"/>
        </w:rPr>
        <w:t>.</w:t>
      </w:r>
    </w:p>
    <w:p w:rsidR="00FC398E" w:rsidRDefault="00FC398E" w:rsidP="00FC398E">
      <w:pPr>
        <w:ind w:firstLine="708"/>
        <w:jc w:val="both"/>
        <w:rPr>
          <w:color w:val="000000"/>
        </w:rPr>
      </w:pPr>
      <w:r>
        <w:rPr>
          <w:color w:val="000000"/>
        </w:rPr>
        <w:t>(1)</w:t>
      </w:r>
      <w:r w:rsidR="00B9094D" w:rsidRPr="0096264F">
        <w:rPr>
          <w:color w:val="000000"/>
        </w:rPr>
        <w:t>Komunalni doprinos</w:t>
      </w:r>
      <w:r w:rsidR="004A7A2D">
        <w:rPr>
          <w:color w:val="000000"/>
        </w:rPr>
        <w:t xml:space="preserve"> </w:t>
      </w:r>
      <w:r>
        <w:rPr>
          <w:color w:val="000000"/>
        </w:rPr>
        <w:t xml:space="preserve">u iznosu do 30.000,00 kn </w:t>
      </w:r>
      <w:r w:rsidR="00B9094D" w:rsidRPr="0096264F">
        <w:rPr>
          <w:color w:val="000000"/>
        </w:rPr>
        <w:t>plaća</w:t>
      </w:r>
      <w:r w:rsidR="004A7A2D">
        <w:rPr>
          <w:color w:val="000000"/>
        </w:rPr>
        <w:t xml:space="preserve"> se</w:t>
      </w:r>
      <w:r w:rsidR="00B9094D" w:rsidRPr="0096264F">
        <w:rPr>
          <w:color w:val="000000"/>
        </w:rPr>
        <w:t xml:space="preserve"> jednokratno u roku od 15 dana od dana izvršnosti rješenja o komunalnom doprinosu. </w:t>
      </w:r>
    </w:p>
    <w:p w:rsidR="00BB5ECC" w:rsidRDefault="00FC398E" w:rsidP="00FC398E">
      <w:pPr>
        <w:pStyle w:val="BodyText"/>
        <w:spacing w:after="0"/>
        <w:ind w:firstLine="708"/>
        <w:jc w:val="both"/>
      </w:pPr>
      <w:r>
        <w:rPr>
          <w:color w:val="000000"/>
        </w:rPr>
        <w:t xml:space="preserve"> (2)</w:t>
      </w:r>
      <w:r w:rsidR="00D455AA">
        <w:rPr>
          <w:color w:val="000000"/>
        </w:rPr>
        <w:t xml:space="preserve">Obvezniku komunalnog doprinosa na njegov zahtjev odobrit će se obročna otplata komunalnog doprinosa </w:t>
      </w:r>
      <w:r w:rsidR="00654A23">
        <w:t xml:space="preserve">ukoliko iznosi </w:t>
      </w:r>
      <w:r w:rsidR="00BB5ECC">
        <w:t xml:space="preserve">od 30.000,00 kn do 100.000,00 kn u najviše 6 </w:t>
      </w:r>
      <w:r w:rsidR="00C64798">
        <w:t xml:space="preserve">obroka, a iznad 100.000,00 kn </w:t>
      </w:r>
      <w:r w:rsidR="00654A23">
        <w:t xml:space="preserve">u </w:t>
      </w:r>
      <w:r w:rsidR="00C64798">
        <w:t>najviše 12 obroka.</w:t>
      </w:r>
    </w:p>
    <w:p w:rsidR="00B9094D" w:rsidRPr="00BB5ECC" w:rsidRDefault="00FC398E" w:rsidP="00FC398E">
      <w:pPr>
        <w:pStyle w:val="BodyText"/>
        <w:spacing w:after="0"/>
        <w:ind w:firstLine="709"/>
        <w:jc w:val="both"/>
      </w:pPr>
      <w:r>
        <w:t>(3)Kod obročnog plaćanja k</w:t>
      </w:r>
      <w:r w:rsidR="00B9094D" w:rsidRPr="00BB5ECC">
        <w:t>omunaln</w:t>
      </w:r>
      <w:r>
        <w:t>og</w:t>
      </w:r>
      <w:r w:rsidR="00B9094D" w:rsidRPr="00BB5ECC">
        <w:t xml:space="preserve"> doprinos</w:t>
      </w:r>
      <w:r>
        <w:t>a</w:t>
      </w:r>
      <w:r w:rsidR="00B9094D" w:rsidRPr="00BB5ECC">
        <w:t xml:space="preserve">, </w:t>
      </w:r>
      <w:r w:rsidRPr="00BB5ECC">
        <w:t>prvi obrok ne može biti manji od 30% ukupne obveze plaćanja komunalnog doprinosa, a na preostale obroke obračunava se kamata u visini eskontne stope Hrvatske narodne banke</w:t>
      </w:r>
      <w:r>
        <w:t>, s time da obveza plaćanja prvog obroka nastaje u roku od 15 dana od dana izvršnosti rješenja o komunalnom doprinosu.</w:t>
      </w:r>
    </w:p>
    <w:p w:rsidR="003B0BDE" w:rsidRDefault="00FC398E" w:rsidP="003B0BDE">
      <w:pPr>
        <w:pStyle w:val="BodyText"/>
        <w:spacing w:after="0"/>
        <w:ind w:firstLine="709"/>
        <w:jc w:val="both"/>
      </w:pPr>
      <w:r>
        <w:t>(4)</w:t>
      </w:r>
      <w:r w:rsidR="00D650FF">
        <w:t xml:space="preserve">Obročna otplata komunalnog doprinosa odobrit </w:t>
      </w:r>
      <w:r w:rsidR="003B0BDE">
        <w:t>će se samo ako obveznik pruži odgovarajuće osiguranje</w:t>
      </w:r>
      <w:r w:rsidR="00654A23">
        <w:t xml:space="preserve"> </w:t>
      </w:r>
      <w:r w:rsidR="003B0BDE">
        <w:t>(</w:t>
      </w:r>
      <w:r w:rsidR="00B9094D" w:rsidRPr="0096264F">
        <w:t>ovjerenu zadužnicu</w:t>
      </w:r>
      <w:r w:rsidR="00654A23">
        <w:t xml:space="preserve"> za obvezu komunalnog doprinosa do iznosa od 50.000,00 kn, </w:t>
      </w:r>
      <w:r w:rsidR="003B0BDE">
        <w:t>bankarsku garanciju s klauzulom „bez prigovora“ ili založno pravo na nekretnini</w:t>
      </w:r>
      <w:r w:rsidR="00654A23">
        <w:t xml:space="preserve"> za iznose komunalnog doprinosa od 50.000,00 kn</w:t>
      </w:r>
      <w:r w:rsidR="003B0BDE">
        <w:t>), a</w:t>
      </w:r>
      <w:r w:rsidR="00BB5ECC">
        <w:t xml:space="preserve"> prije izdavanja rješenja o komunalno</w:t>
      </w:r>
      <w:r w:rsidR="003B0BDE">
        <w:t xml:space="preserve">m </w:t>
      </w:r>
      <w:r w:rsidR="00BB5ECC">
        <w:t>doprinos</w:t>
      </w:r>
      <w:r w:rsidR="003B0BDE">
        <w:t>u.</w:t>
      </w:r>
    </w:p>
    <w:p w:rsidR="003B0BDE" w:rsidRDefault="003B0BDE" w:rsidP="00FC398E">
      <w:pPr>
        <w:pStyle w:val="BodyText"/>
        <w:spacing w:after="0"/>
        <w:ind w:firstLine="709"/>
        <w:jc w:val="both"/>
      </w:pPr>
      <w:r>
        <w:t>(5)</w:t>
      </w:r>
      <w:r w:rsidR="00B9094D" w:rsidRPr="0096264F">
        <w:t xml:space="preserve">U slučaju </w:t>
      </w:r>
      <w:r>
        <w:t>zakašnjenja s uplatom dva uzastopna obroka, cjelokupni neuplaćeni iznos komunalnog doprinosa dospijeva na naplatu s prvim narednim danom, računajući od dana kada je obveznik bio dužan platiti dospjeli obrok.</w:t>
      </w:r>
    </w:p>
    <w:p w:rsidR="00FC398E" w:rsidRDefault="003B0BDE" w:rsidP="00FC398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FC398E">
        <w:rPr>
          <w:color w:val="000000"/>
        </w:rPr>
        <w:t>(</w:t>
      </w:r>
      <w:r>
        <w:rPr>
          <w:color w:val="000000"/>
        </w:rPr>
        <w:t>6</w:t>
      </w:r>
      <w:r w:rsidR="00FC398E">
        <w:rPr>
          <w:color w:val="000000"/>
        </w:rPr>
        <w:t>)Na nepravovremeno uplaćene iznose komunalnog doprinosa plaćaju se zatezne kamate u visni propisanoj za nepravovremeno uplaćene iznose javnih davanja.</w:t>
      </w:r>
    </w:p>
    <w:p w:rsidR="00B9094D" w:rsidRPr="0096264F" w:rsidRDefault="00FC398E" w:rsidP="00654A23">
      <w:pPr>
        <w:ind w:firstLine="708"/>
        <w:jc w:val="both"/>
        <w:rPr>
          <w:color w:val="000000"/>
        </w:rPr>
      </w:pPr>
      <w:r>
        <w:rPr>
          <w:color w:val="000000"/>
        </w:rPr>
        <w:t>(</w:t>
      </w:r>
      <w:r w:rsidR="003B0BDE">
        <w:rPr>
          <w:color w:val="000000"/>
        </w:rPr>
        <w:t>7</w:t>
      </w:r>
      <w:r>
        <w:rPr>
          <w:color w:val="000000"/>
        </w:rPr>
        <w:t>)Plaćanje komunalnog doprinosa za ozakonjenje zgrada može se sukladno Zakonu o postupanju s nezakonito izgrađenim zgradama odgoditi za godinu dana od dana izvršnosti rješenja.</w:t>
      </w:r>
    </w:p>
    <w:p w:rsidR="00B044A0" w:rsidRPr="00B120C0" w:rsidRDefault="00B9094D" w:rsidP="00B120C0">
      <w:pPr>
        <w:jc w:val="center"/>
      </w:pPr>
      <w:r w:rsidRPr="00B120C0">
        <w:rPr>
          <w:color w:val="000000"/>
        </w:rPr>
        <w:t>Članak</w:t>
      </w:r>
      <w:r w:rsidRPr="00B120C0">
        <w:t xml:space="preserve"> </w:t>
      </w:r>
      <w:r w:rsidR="00B120C0" w:rsidRPr="00B120C0">
        <w:t>10</w:t>
      </w:r>
      <w:r w:rsidR="006C1E1F" w:rsidRPr="00B120C0">
        <w:t>.</w:t>
      </w:r>
    </w:p>
    <w:p w:rsidR="00B9094D" w:rsidRPr="00654A23" w:rsidRDefault="00B9094D" w:rsidP="005F18A1">
      <w:pPr>
        <w:ind w:firstLine="284"/>
        <w:jc w:val="both"/>
      </w:pPr>
      <w:r w:rsidRPr="0096264F">
        <w:rPr>
          <w:color w:val="000000"/>
        </w:rPr>
        <w:tab/>
      </w:r>
      <w:r w:rsidR="00654A23">
        <w:rPr>
          <w:color w:val="000000"/>
        </w:rPr>
        <w:t>(1)</w:t>
      </w:r>
      <w:r w:rsidR="003B0BDE" w:rsidRPr="00654A23">
        <w:t>Općinski načelnik</w:t>
      </w:r>
      <w:r w:rsidR="00C64798" w:rsidRPr="00654A23">
        <w:t xml:space="preserve"> </w:t>
      </w:r>
      <w:r w:rsidRPr="00654A23">
        <w:t xml:space="preserve">može </w:t>
      </w:r>
      <w:r w:rsidR="003B0BDE" w:rsidRPr="00654A23">
        <w:t xml:space="preserve">iznimno </w:t>
      </w:r>
      <w:r w:rsidRPr="00654A23">
        <w:t xml:space="preserve">u pojedinačnim </w:t>
      </w:r>
      <w:r w:rsidR="003B0BDE" w:rsidRPr="00654A23">
        <w:t xml:space="preserve">slučajevima </w:t>
      </w:r>
      <w:r w:rsidRPr="00654A23">
        <w:t xml:space="preserve">na zahtjev investitora posebnom odlukom odgoditi rok otplate </w:t>
      </w:r>
      <w:r w:rsidR="00654A23">
        <w:t xml:space="preserve">na najviše 3 godine </w:t>
      </w:r>
      <w:r w:rsidRPr="00654A23">
        <w:t xml:space="preserve">preostalih 70% iznosa komunalnog doprinosa iz članka </w:t>
      </w:r>
      <w:r w:rsidR="00654A23">
        <w:t>9</w:t>
      </w:r>
      <w:r w:rsidRPr="00654A23">
        <w:t>. ove Odluke te odrediti novi rok u sljedećim slučajevima:</w:t>
      </w:r>
    </w:p>
    <w:p w:rsidR="00B9094D" w:rsidRPr="00654A23" w:rsidRDefault="00B9094D" w:rsidP="008636D7">
      <w:pPr>
        <w:pStyle w:val="BodyText2"/>
        <w:numPr>
          <w:ilvl w:val="0"/>
          <w:numId w:val="5"/>
        </w:numPr>
        <w:spacing w:after="0" w:line="240" w:lineRule="auto"/>
        <w:jc w:val="both"/>
      </w:pPr>
      <w:r w:rsidRPr="00654A23">
        <w:t>radi poticanja poduzetništva kada se radi o gospodarskim ulaganjima koja će</w:t>
      </w:r>
      <w:r w:rsidR="005F18A1" w:rsidRPr="00654A23">
        <w:t xml:space="preserve"> </w:t>
      </w:r>
      <w:r w:rsidRPr="00654A23">
        <w:t>omogućiti zapošljava</w:t>
      </w:r>
      <w:r w:rsidR="003B0BDE" w:rsidRPr="00654A23">
        <w:t>nje</w:t>
      </w:r>
      <w:r w:rsidRPr="00654A23">
        <w:t xml:space="preserve"> više od 20 osoba u objektima za koje je obračun komunalnog doprinosa veći od 300.000,00 kn, </w:t>
      </w:r>
    </w:p>
    <w:p w:rsidR="00B9094D" w:rsidRPr="00654A23" w:rsidRDefault="00B9094D" w:rsidP="005F18A1">
      <w:pPr>
        <w:pStyle w:val="ListParagraph"/>
        <w:numPr>
          <w:ilvl w:val="0"/>
          <w:numId w:val="5"/>
        </w:numPr>
        <w:jc w:val="both"/>
      </w:pPr>
      <w:r w:rsidRPr="00654A23">
        <w:t xml:space="preserve">kada su obveznici plaćanja </w:t>
      </w:r>
      <w:r w:rsidR="003B0BDE" w:rsidRPr="00654A23">
        <w:t xml:space="preserve">komunalnog doprinosa </w:t>
      </w:r>
      <w:r w:rsidRPr="00654A23">
        <w:t>osobe s utvrđenim invaliditetom preko 50 % ili za objekte koje će koristiti najmanje 10 osoba s utvrđenim invaliditetom,</w:t>
      </w:r>
    </w:p>
    <w:p w:rsidR="003B0BDE" w:rsidRDefault="00B9094D" w:rsidP="00E67A17">
      <w:pPr>
        <w:pStyle w:val="ListParagraph"/>
        <w:numPr>
          <w:ilvl w:val="0"/>
          <w:numId w:val="5"/>
        </w:numPr>
        <w:jc w:val="both"/>
      </w:pPr>
      <w:r w:rsidRPr="00654A23">
        <w:t xml:space="preserve">kada su obveznici plaćanja </w:t>
      </w:r>
      <w:r w:rsidR="003B0BDE" w:rsidRPr="00654A23">
        <w:t xml:space="preserve">komunalnog doprinosa </w:t>
      </w:r>
      <w:r w:rsidRPr="00654A23">
        <w:t xml:space="preserve">nosioci rijetke vrste djelatnosti od lokalnog značenja što će </w:t>
      </w:r>
      <w:r w:rsidR="003B0BDE" w:rsidRPr="00654A23">
        <w:t xml:space="preserve">se </w:t>
      </w:r>
      <w:r w:rsidRPr="00654A23">
        <w:t>utvrditi u svakom konkretnom slučaju</w:t>
      </w:r>
      <w:r w:rsidR="00D11860">
        <w:t>.</w:t>
      </w:r>
    </w:p>
    <w:p w:rsidR="00D11860" w:rsidRPr="00654A23" w:rsidRDefault="00D11860" w:rsidP="00D11860">
      <w:pPr>
        <w:pStyle w:val="ListParagraph"/>
        <w:jc w:val="both"/>
      </w:pPr>
    </w:p>
    <w:p w:rsidR="00B9094D" w:rsidRPr="00654A23" w:rsidRDefault="00654A23" w:rsidP="00D11860">
      <w:pPr>
        <w:pStyle w:val="BodyTextInden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B9094D" w:rsidRPr="00654A23">
        <w:rPr>
          <w:rFonts w:ascii="Times New Roman" w:hAnsi="Times New Roman" w:cs="Times New Roman"/>
        </w:rPr>
        <w:t>U slučajevima iz prethodnog stavka, donosi</w:t>
      </w:r>
      <w:r w:rsidR="003B0BDE" w:rsidRPr="00654A23">
        <w:rPr>
          <w:rFonts w:ascii="Times New Roman" w:hAnsi="Times New Roman" w:cs="Times New Roman"/>
        </w:rPr>
        <w:t xml:space="preserve"> se</w:t>
      </w:r>
      <w:r w:rsidR="00B9094D" w:rsidRPr="00654A23">
        <w:rPr>
          <w:rFonts w:ascii="Times New Roman" w:hAnsi="Times New Roman" w:cs="Times New Roman"/>
        </w:rPr>
        <w:t xml:space="preserve"> rješenje </w:t>
      </w:r>
      <w:r w:rsidR="00D11860">
        <w:rPr>
          <w:rFonts w:ascii="Times New Roman" w:hAnsi="Times New Roman" w:cs="Times New Roman"/>
        </w:rPr>
        <w:t xml:space="preserve">o izmjeni rješenja </w:t>
      </w:r>
      <w:r w:rsidR="00B9094D" w:rsidRPr="00654A23">
        <w:rPr>
          <w:rFonts w:ascii="Times New Roman" w:hAnsi="Times New Roman" w:cs="Times New Roman"/>
        </w:rPr>
        <w:t>kojim će se utvrditi novi rokovi i način plaćanja komunalnog doprinosa.</w:t>
      </w:r>
    </w:p>
    <w:p w:rsidR="00B9094D" w:rsidRPr="00654A23" w:rsidRDefault="00654A23" w:rsidP="00654A23">
      <w:pPr>
        <w:pStyle w:val="BodyTextIndent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(3)</w:t>
      </w:r>
      <w:r w:rsidR="00B9094D" w:rsidRPr="00654A23">
        <w:rPr>
          <w:rFonts w:ascii="Times New Roman" w:hAnsi="Times New Roman" w:cs="Times New Roman"/>
        </w:rPr>
        <w:t xml:space="preserve">O odgođenoj obročnoj otplati komunalnog doprinosa sklopit će se poseban ugovor kojim će se utvrditi kamate za vrijeme </w:t>
      </w:r>
      <w:r w:rsidR="00827C7A" w:rsidRPr="00654A23">
        <w:rPr>
          <w:rFonts w:ascii="Times New Roman" w:hAnsi="Times New Roman" w:cs="Times New Roman"/>
        </w:rPr>
        <w:t xml:space="preserve">počeka </w:t>
      </w:r>
      <w:r w:rsidR="00B9094D" w:rsidRPr="00654A23">
        <w:rPr>
          <w:rFonts w:ascii="Times New Roman" w:hAnsi="Times New Roman" w:cs="Times New Roman"/>
        </w:rPr>
        <w:t xml:space="preserve">te druga međusobna prava i obveze. </w:t>
      </w:r>
      <w:r>
        <w:rPr>
          <w:rFonts w:ascii="Times New Roman" w:hAnsi="Times New Roman" w:cs="Times New Roman"/>
        </w:rPr>
        <w:t>U</w:t>
      </w:r>
      <w:r w:rsidR="00B9094D" w:rsidRPr="00654A23">
        <w:rPr>
          <w:rFonts w:ascii="Times New Roman" w:hAnsi="Times New Roman" w:cs="Times New Roman"/>
        </w:rPr>
        <w:t xml:space="preserve">govorom će se odrediti da </w:t>
      </w:r>
      <w:r>
        <w:rPr>
          <w:rFonts w:ascii="Times New Roman" w:hAnsi="Times New Roman" w:cs="Times New Roman"/>
        </w:rPr>
        <w:t xml:space="preserve">je </w:t>
      </w:r>
      <w:r w:rsidR="00B9094D" w:rsidRPr="00654A23">
        <w:rPr>
          <w:rFonts w:ascii="Times New Roman" w:hAnsi="Times New Roman" w:cs="Times New Roman"/>
        </w:rPr>
        <w:t>za razdoblje</w:t>
      </w:r>
      <w:r w:rsidRPr="00654A23">
        <w:rPr>
          <w:rFonts w:ascii="Times New Roman" w:hAnsi="Times New Roman" w:cs="Times New Roman"/>
        </w:rPr>
        <w:t xml:space="preserve"> </w:t>
      </w:r>
      <w:r w:rsidR="00827C7A" w:rsidRPr="00654A23">
        <w:rPr>
          <w:rFonts w:ascii="Times New Roman" w:hAnsi="Times New Roman" w:cs="Times New Roman"/>
        </w:rPr>
        <w:t xml:space="preserve">počeka </w:t>
      </w:r>
      <w:r w:rsidR="00B9094D" w:rsidRPr="00654A23">
        <w:rPr>
          <w:rFonts w:ascii="Times New Roman" w:hAnsi="Times New Roman" w:cs="Times New Roman"/>
        </w:rPr>
        <w:t>odgođene obročne otplate komunalnog doprinosa</w:t>
      </w:r>
      <w:r>
        <w:rPr>
          <w:rFonts w:ascii="Times New Roman" w:hAnsi="Times New Roman" w:cs="Times New Roman"/>
        </w:rPr>
        <w:t xml:space="preserve"> obveznik</w:t>
      </w:r>
      <w:r w:rsidR="00B9094D" w:rsidRPr="00654A23">
        <w:rPr>
          <w:rFonts w:ascii="Times New Roman" w:hAnsi="Times New Roman" w:cs="Times New Roman"/>
        </w:rPr>
        <w:t xml:space="preserve"> duž</w:t>
      </w:r>
      <w:r>
        <w:rPr>
          <w:rFonts w:ascii="Times New Roman" w:hAnsi="Times New Roman" w:cs="Times New Roman"/>
        </w:rPr>
        <w:t>an</w:t>
      </w:r>
      <w:r w:rsidR="00B9094D" w:rsidRPr="00654A23">
        <w:rPr>
          <w:rFonts w:ascii="Times New Roman" w:hAnsi="Times New Roman" w:cs="Times New Roman"/>
        </w:rPr>
        <w:t xml:space="preserve"> platiti ugovornu kamatu čija se visina određuje prema Zakonu o obveznim odnosima</w:t>
      </w:r>
      <w:r>
        <w:rPr>
          <w:rFonts w:ascii="Times New Roman" w:hAnsi="Times New Roman" w:cs="Times New Roman"/>
        </w:rPr>
        <w:t>.</w:t>
      </w:r>
    </w:p>
    <w:p w:rsidR="00B9094D" w:rsidRPr="00654A23" w:rsidRDefault="00654A23" w:rsidP="00212C67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B9094D" w:rsidRPr="00654A23">
        <w:rPr>
          <w:rFonts w:ascii="Times New Roman" w:hAnsi="Times New Roman" w:cs="Times New Roman"/>
        </w:rPr>
        <w:t xml:space="preserve">U slučaju da </w:t>
      </w:r>
      <w:r>
        <w:rPr>
          <w:rFonts w:ascii="Times New Roman" w:hAnsi="Times New Roman" w:cs="Times New Roman"/>
        </w:rPr>
        <w:t>obveznik komunalnog doprinosa</w:t>
      </w:r>
      <w:r w:rsidR="00B9094D" w:rsidRPr="00654A23">
        <w:rPr>
          <w:rFonts w:ascii="Times New Roman" w:hAnsi="Times New Roman" w:cs="Times New Roman"/>
        </w:rPr>
        <w:t xml:space="preserve"> u roku od 60 dana od početka obavljanja djelatnosti</w:t>
      </w:r>
      <w:r>
        <w:rPr>
          <w:rFonts w:ascii="Times New Roman" w:hAnsi="Times New Roman" w:cs="Times New Roman"/>
        </w:rPr>
        <w:t xml:space="preserve"> </w:t>
      </w:r>
      <w:r w:rsidR="00B9094D" w:rsidRPr="00654A23">
        <w:rPr>
          <w:rFonts w:ascii="Times New Roman" w:hAnsi="Times New Roman" w:cs="Times New Roman"/>
        </w:rPr>
        <w:t>ne podnese dokaze</w:t>
      </w:r>
      <w:r w:rsidR="00827C7A" w:rsidRPr="00654A23">
        <w:rPr>
          <w:rFonts w:ascii="Times New Roman" w:hAnsi="Times New Roman" w:cs="Times New Roman"/>
        </w:rPr>
        <w:t xml:space="preserve"> o ispunjenju uvjeta</w:t>
      </w:r>
      <w:r w:rsidR="00B9094D" w:rsidRPr="00654A23">
        <w:rPr>
          <w:rFonts w:ascii="Times New Roman" w:hAnsi="Times New Roman" w:cs="Times New Roman"/>
        </w:rPr>
        <w:t xml:space="preserve"> iz stavka 1. ovog članka, dužan je preostali iznos platiti u cijelosti u roku od 15 dana</w:t>
      </w:r>
      <w:r w:rsidR="00D11860">
        <w:rPr>
          <w:rFonts w:ascii="Times New Roman" w:hAnsi="Times New Roman" w:cs="Times New Roman"/>
        </w:rPr>
        <w:t xml:space="preserve"> od isteka roka iz ovog stavka</w:t>
      </w:r>
      <w:r w:rsidR="00B9094D" w:rsidRPr="00654A23">
        <w:rPr>
          <w:rFonts w:ascii="Times New Roman" w:hAnsi="Times New Roman" w:cs="Times New Roman"/>
        </w:rPr>
        <w:t>, uključujući ugovorne kamate.</w:t>
      </w:r>
    </w:p>
    <w:p w:rsidR="003D2D91" w:rsidRPr="0096264F" w:rsidRDefault="003D2D91" w:rsidP="00212C67">
      <w:pPr>
        <w:jc w:val="both"/>
        <w:rPr>
          <w:color w:val="000000"/>
        </w:rPr>
      </w:pPr>
    </w:p>
    <w:p w:rsidR="00B9094D" w:rsidRPr="002B0A85" w:rsidRDefault="00B9094D" w:rsidP="00212C67">
      <w:pPr>
        <w:jc w:val="both"/>
        <w:rPr>
          <w:color w:val="000000"/>
        </w:rPr>
      </w:pPr>
      <w:r w:rsidRPr="002B0A85">
        <w:rPr>
          <w:color w:val="000000"/>
        </w:rPr>
        <w:t> </w:t>
      </w:r>
      <w:r w:rsidR="002B0A85" w:rsidRPr="002B0A85">
        <w:rPr>
          <w:color w:val="000000"/>
        </w:rPr>
        <w:t>I</w:t>
      </w:r>
      <w:r w:rsidRPr="002B0A85">
        <w:t>V</w:t>
      </w:r>
      <w:r w:rsidR="00BE502C" w:rsidRPr="002B0A85">
        <w:t>.</w:t>
      </w:r>
      <w:r w:rsidRPr="002B0A85">
        <w:rPr>
          <w:color w:val="000000"/>
        </w:rPr>
        <w:t xml:space="preserve"> </w:t>
      </w:r>
      <w:r w:rsidR="00315C3B" w:rsidRPr="002B0A85">
        <w:rPr>
          <w:color w:val="0070C0"/>
        </w:rPr>
        <w:t xml:space="preserve"> </w:t>
      </w:r>
      <w:r w:rsidRPr="002B0A85">
        <w:rPr>
          <w:color w:val="000000"/>
        </w:rPr>
        <w:t>OSLOBAĐANJE OD PLAĆANJA KOMUNALNOG DOPRINOSA</w:t>
      </w:r>
    </w:p>
    <w:p w:rsidR="00315C3B" w:rsidRPr="002B0A85" w:rsidRDefault="00315C3B" w:rsidP="00212C67">
      <w:pPr>
        <w:jc w:val="both"/>
        <w:rPr>
          <w:color w:val="000000"/>
        </w:rPr>
      </w:pPr>
    </w:p>
    <w:p w:rsidR="00835579" w:rsidRPr="002B0A85" w:rsidRDefault="00315C3B" w:rsidP="002B0A85">
      <w:pPr>
        <w:jc w:val="center"/>
      </w:pPr>
      <w:r w:rsidRPr="002B0A85">
        <w:t>Članak</w:t>
      </w:r>
      <w:r w:rsidR="006C1E1F" w:rsidRPr="002B0A85">
        <w:t xml:space="preserve"> </w:t>
      </w:r>
      <w:r w:rsidR="00B120C0">
        <w:t>11</w:t>
      </w:r>
      <w:r w:rsidR="006C1E1F" w:rsidRPr="002B0A85">
        <w:t>.</w:t>
      </w:r>
    </w:p>
    <w:p w:rsidR="002B0A85" w:rsidRPr="002B0A85" w:rsidRDefault="002B0A85" w:rsidP="002B0A85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 xml:space="preserve">Općina Punat oslobodit će 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 xml:space="preserve">u potpunosti 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>obveze plaćanja komunalog doprinosa:</w:t>
      </w:r>
    </w:p>
    <w:p w:rsidR="009C48D2" w:rsidRPr="009C48D2" w:rsidRDefault="002B0A85" w:rsidP="009C48D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>rgovačka društva koja ob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>vlja</w:t>
      </w:r>
      <w:r>
        <w:rPr>
          <w:rFonts w:ascii="Times New Roman" w:hAnsi="Times New Roman" w:cs="Times New Roman"/>
          <w:color w:val="auto"/>
          <w:sz w:val="24"/>
          <w:szCs w:val="24"/>
        </w:rPr>
        <w:t>j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>u komunalne djelatnosti u kojima Općina Punat ima poslovni udio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>za izgradnju ili ozakonjenje građevina koje služe za obavljanje njihove osnovne djelatnosti.</w:t>
      </w:r>
    </w:p>
    <w:p w:rsidR="002B0A85" w:rsidRPr="002B0A85" w:rsidRDefault="002B0A85" w:rsidP="002B0A85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(2)O utvrđenju da Općina Punat po Zakonu nema obveze plaćanja komunalnog doprinosa za građevine koje gradi na svom području ili o potpunom oslobađanju od plaćanja komunalnog doprinosa u slučaju iz stavka 1. ovog članka, donosi se rješenje.</w:t>
      </w:r>
    </w:p>
    <w:p w:rsidR="00B120C0" w:rsidRDefault="00B120C0" w:rsidP="00B120C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B0A85" w:rsidRPr="002B0A85" w:rsidRDefault="002B0A85" w:rsidP="00B120C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0A85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B120C0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2B0A8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D1518" w:rsidRPr="00E67194" w:rsidRDefault="00C674B4" w:rsidP="00B120C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64F">
        <w:rPr>
          <w:color w:val="FF0000"/>
        </w:rPr>
        <w:tab/>
      </w:r>
      <w:r w:rsidR="00E67194" w:rsidRPr="00E67194">
        <w:rPr>
          <w:rFonts w:ascii="Times New Roman" w:hAnsi="Times New Roman" w:cs="Times New Roman"/>
          <w:color w:val="auto"/>
          <w:sz w:val="24"/>
          <w:szCs w:val="24"/>
        </w:rPr>
        <w:t xml:space="preserve">(1)Općina 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>Punat oslobodit će djelomično obveze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plaćanja komunalnog doprinosa</w:t>
      </w:r>
      <w:r w:rsidR="009C48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fizičk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osob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 xml:space="preserve"> - investitor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 xml:space="preserve"> koji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novom gradnjom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 xml:space="preserve"> objekta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na vlastitom građevinskom zemljištu rješava svoje stambene potrebe, uz uvjet da ima prijavljeno prebivalište na području 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>Općine Punat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nepr</w:t>
      </w:r>
      <w:r w:rsidR="00FD1518">
        <w:rPr>
          <w:rFonts w:ascii="Times New Roman" w:hAnsi="Times New Roman" w:cs="Times New Roman"/>
          <w:color w:val="auto"/>
          <w:sz w:val="24"/>
          <w:szCs w:val="24"/>
        </w:rPr>
        <w:t>ekidno 10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ili više godina,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 xml:space="preserve"> gradi stambeni objekt do 700 m³</w:t>
      </w:r>
      <w:r w:rsidR="008C19B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a nema u vlasništvu</w:t>
      </w:r>
      <w:r w:rsidR="00FD1518">
        <w:rPr>
          <w:rFonts w:ascii="Times New Roman" w:hAnsi="Times New Roman" w:cs="Times New Roman"/>
          <w:color w:val="auto"/>
          <w:sz w:val="24"/>
          <w:szCs w:val="24"/>
        </w:rPr>
        <w:t xml:space="preserve"> drugu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kuću</w:t>
      </w:r>
      <w:r w:rsidR="00E67194">
        <w:rPr>
          <w:rFonts w:ascii="Times New Roman" w:hAnsi="Times New Roman" w:cs="Times New Roman"/>
          <w:color w:val="auto"/>
          <w:sz w:val="24"/>
          <w:szCs w:val="24"/>
        </w:rPr>
        <w:t xml:space="preserve"> ili stan – komunalni doprinos iznosi 25% iznosa propisanog člankom 4. ove Odluke</w:t>
      </w:r>
      <w:r w:rsidR="004064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D1518" w:rsidRDefault="00E67194" w:rsidP="00406409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(2)O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sobe iz stavka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ovog članka, ukoliko su hrvatski branitelji iz Domovinskog rata, kod utvrđivanja komunalnog doprinosa imaju pravo na dodatno oslobađanje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plaćanja komunalnog doprinosa ovisno o broju provedenih dana na ratištu za gradnju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 xml:space="preserve"> novog objekta</w:t>
      </w:r>
      <w:r w:rsidR="00FD1518">
        <w:rPr>
          <w:rFonts w:ascii="Times New Roman" w:hAnsi="Times New Roman" w:cs="Times New Roman"/>
          <w:color w:val="auto"/>
          <w:sz w:val="24"/>
          <w:szCs w:val="24"/>
        </w:rPr>
        <w:t xml:space="preserve"> ili ozakonjenje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stambenog objekta do 700 m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FD1518">
        <w:rPr>
          <w:rFonts w:ascii="Times New Roman" w:hAnsi="Times New Roman" w:cs="Times New Roman"/>
          <w:color w:val="auto"/>
          <w:sz w:val="24"/>
          <w:szCs w:val="24"/>
        </w:rPr>
        <w:t xml:space="preserve"> obujma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građevine i to prema sljedeć</w:t>
      </w:r>
      <w:r>
        <w:rPr>
          <w:rFonts w:ascii="Times New Roman" w:hAnsi="Times New Roman" w:cs="Times New Roman"/>
          <w:color w:val="auto"/>
          <w:sz w:val="24"/>
          <w:szCs w:val="24"/>
        </w:rPr>
        <w:t>im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kriterij</w:t>
      </w:r>
      <w:r>
        <w:rPr>
          <w:rFonts w:ascii="Times New Roman" w:hAnsi="Times New Roman" w:cs="Times New Roman"/>
          <w:color w:val="auto"/>
          <w:sz w:val="24"/>
          <w:szCs w:val="24"/>
        </w:rPr>
        <w:t>ima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W w:w="9067" w:type="dxa"/>
        <w:tblLook w:val="04A0"/>
      </w:tblPr>
      <w:tblGrid>
        <w:gridCol w:w="3681"/>
        <w:gridCol w:w="5386"/>
      </w:tblGrid>
      <w:tr w:rsidR="00E67194" w:rsidTr="00406409">
        <w:tc>
          <w:tcPr>
            <w:tcW w:w="3681" w:type="dxa"/>
          </w:tcPr>
          <w:p w:rsidR="00E67194" w:rsidRPr="00406409" w:rsidRDefault="00E67194" w:rsidP="00406409">
            <w:pPr>
              <w:jc w:val="center"/>
              <w:rPr>
                <w:b/>
              </w:rPr>
            </w:pPr>
            <w:r w:rsidRPr="00406409">
              <w:rPr>
                <w:b/>
              </w:rPr>
              <w:t xml:space="preserve">Broj dana </w:t>
            </w:r>
            <w:r w:rsidR="00406409" w:rsidRPr="00406409">
              <w:rPr>
                <w:b/>
              </w:rPr>
              <w:t>provedenih na ratištu</w:t>
            </w:r>
          </w:p>
        </w:tc>
        <w:tc>
          <w:tcPr>
            <w:tcW w:w="5386" w:type="dxa"/>
          </w:tcPr>
          <w:p w:rsidR="00E67194" w:rsidRPr="00406409" w:rsidRDefault="00406409" w:rsidP="00406409">
            <w:pPr>
              <w:jc w:val="center"/>
              <w:rPr>
                <w:b/>
              </w:rPr>
            </w:pPr>
            <w:r w:rsidRPr="00406409">
              <w:rPr>
                <w:b/>
              </w:rPr>
              <w:t>Postotak dodatnog oslobađanja od plaćanja komunalnog doprinosa</w:t>
            </w:r>
          </w:p>
        </w:tc>
      </w:tr>
      <w:tr w:rsidR="00E67194" w:rsidTr="00406409">
        <w:tc>
          <w:tcPr>
            <w:tcW w:w="3681" w:type="dxa"/>
          </w:tcPr>
          <w:p w:rsidR="00E67194" w:rsidRDefault="00406409" w:rsidP="00406409">
            <w:pPr>
              <w:jc w:val="center"/>
            </w:pPr>
            <w:r>
              <w:t>450 dana i više</w:t>
            </w:r>
          </w:p>
        </w:tc>
        <w:tc>
          <w:tcPr>
            <w:tcW w:w="5386" w:type="dxa"/>
          </w:tcPr>
          <w:p w:rsidR="00E67194" w:rsidRDefault="00406409" w:rsidP="00406409">
            <w:pPr>
              <w:jc w:val="center"/>
            </w:pPr>
            <w:r>
              <w:t>25 %</w:t>
            </w:r>
          </w:p>
        </w:tc>
      </w:tr>
      <w:tr w:rsidR="00E67194" w:rsidTr="00406409">
        <w:tc>
          <w:tcPr>
            <w:tcW w:w="3681" w:type="dxa"/>
          </w:tcPr>
          <w:p w:rsidR="00E67194" w:rsidRDefault="00406409" w:rsidP="00406409">
            <w:pPr>
              <w:jc w:val="center"/>
            </w:pPr>
            <w:r>
              <w:t>400-450 dana</w:t>
            </w:r>
          </w:p>
        </w:tc>
        <w:tc>
          <w:tcPr>
            <w:tcW w:w="5386" w:type="dxa"/>
          </w:tcPr>
          <w:p w:rsidR="00E67194" w:rsidRDefault="00406409" w:rsidP="00406409">
            <w:pPr>
              <w:jc w:val="center"/>
            </w:pPr>
            <w:r>
              <w:t>22,5%</w:t>
            </w:r>
          </w:p>
        </w:tc>
      </w:tr>
      <w:tr w:rsidR="00E67194" w:rsidTr="00406409">
        <w:tc>
          <w:tcPr>
            <w:tcW w:w="3681" w:type="dxa"/>
          </w:tcPr>
          <w:p w:rsidR="00406409" w:rsidRDefault="00406409" w:rsidP="00406409">
            <w:pPr>
              <w:jc w:val="center"/>
            </w:pPr>
            <w:r>
              <w:t>350-400 dana</w:t>
            </w:r>
          </w:p>
        </w:tc>
        <w:tc>
          <w:tcPr>
            <w:tcW w:w="5386" w:type="dxa"/>
          </w:tcPr>
          <w:p w:rsidR="00E67194" w:rsidRDefault="00406409" w:rsidP="00406409">
            <w:pPr>
              <w:jc w:val="center"/>
            </w:pPr>
            <w:r>
              <w:t>20%</w:t>
            </w:r>
          </w:p>
        </w:tc>
      </w:tr>
      <w:tr w:rsidR="00E67194" w:rsidTr="00406409">
        <w:tc>
          <w:tcPr>
            <w:tcW w:w="3681" w:type="dxa"/>
          </w:tcPr>
          <w:p w:rsidR="00E67194" w:rsidRDefault="00406409" w:rsidP="00406409">
            <w:pPr>
              <w:jc w:val="center"/>
            </w:pPr>
            <w:r>
              <w:t>300-350 dana</w:t>
            </w:r>
          </w:p>
        </w:tc>
        <w:tc>
          <w:tcPr>
            <w:tcW w:w="5386" w:type="dxa"/>
          </w:tcPr>
          <w:p w:rsidR="00E67194" w:rsidRDefault="00406409" w:rsidP="00406409">
            <w:pPr>
              <w:jc w:val="center"/>
            </w:pPr>
            <w:r>
              <w:t>17,5%</w:t>
            </w:r>
          </w:p>
        </w:tc>
      </w:tr>
      <w:tr w:rsidR="00E67194" w:rsidTr="00406409">
        <w:tc>
          <w:tcPr>
            <w:tcW w:w="3681" w:type="dxa"/>
          </w:tcPr>
          <w:p w:rsidR="00E67194" w:rsidRDefault="00406409" w:rsidP="00406409">
            <w:pPr>
              <w:jc w:val="center"/>
            </w:pPr>
            <w:r>
              <w:t>250-300 dana</w:t>
            </w:r>
          </w:p>
        </w:tc>
        <w:tc>
          <w:tcPr>
            <w:tcW w:w="5386" w:type="dxa"/>
          </w:tcPr>
          <w:p w:rsidR="00E67194" w:rsidRDefault="00406409" w:rsidP="00406409">
            <w:pPr>
              <w:jc w:val="center"/>
            </w:pPr>
            <w:r>
              <w:t>15%</w:t>
            </w:r>
          </w:p>
        </w:tc>
      </w:tr>
      <w:tr w:rsidR="00E67194" w:rsidTr="00406409">
        <w:tc>
          <w:tcPr>
            <w:tcW w:w="3681" w:type="dxa"/>
          </w:tcPr>
          <w:p w:rsidR="00E67194" w:rsidRDefault="00406409" w:rsidP="00406409">
            <w:pPr>
              <w:jc w:val="center"/>
            </w:pPr>
            <w:r>
              <w:t>200-250 dana</w:t>
            </w:r>
          </w:p>
        </w:tc>
        <w:tc>
          <w:tcPr>
            <w:tcW w:w="5386" w:type="dxa"/>
          </w:tcPr>
          <w:p w:rsidR="00E67194" w:rsidRDefault="00406409" w:rsidP="00406409">
            <w:pPr>
              <w:jc w:val="center"/>
            </w:pPr>
            <w:r>
              <w:t>12,5%</w:t>
            </w:r>
          </w:p>
        </w:tc>
      </w:tr>
      <w:tr w:rsidR="00406409" w:rsidTr="00406409">
        <w:tc>
          <w:tcPr>
            <w:tcW w:w="3681" w:type="dxa"/>
          </w:tcPr>
          <w:p w:rsidR="00406409" w:rsidRDefault="00406409" w:rsidP="00406409">
            <w:pPr>
              <w:jc w:val="center"/>
            </w:pPr>
            <w:r>
              <w:t>150-200 dana</w:t>
            </w:r>
          </w:p>
        </w:tc>
        <w:tc>
          <w:tcPr>
            <w:tcW w:w="5386" w:type="dxa"/>
          </w:tcPr>
          <w:p w:rsidR="00406409" w:rsidRDefault="00406409" w:rsidP="00406409">
            <w:pPr>
              <w:jc w:val="center"/>
            </w:pPr>
            <w:r>
              <w:t>10%</w:t>
            </w:r>
          </w:p>
        </w:tc>
      </w:tr>
      <w:tr w:rsidR="00406409" w:rsidTr="00406409">
        <w:tc>
          <w:tcPr>
            <w:tcW w:w="3681" w:type="dxa"/>
          </w:tcPr>
          <w:p w:rsidR="00406409" w:rsidRDefault="00406409" w:rsidP="00406409">
            <w:pPr>
              <w:jc w:val="center"/>
            </w:pPr>
            <w:r>
              <w:t>100-150 dana</w:t>
            </w:r>
          </w:p>
        </w:tc>
        <w:tc>
          <w:tcPr>
            <w:tcW w:w="5386" w:type="dxa"/>
          </w:tcPr>
          <w:p w:rsidR="00406409" w:rsidRDefault="00406409" w:rsidP="00406409">
            <w:pPr>
              <w:jc w:val="center"/>
            </w:pPr>
            <w:r>
              <w:t>7,5%</w:t>
            </w:r>
          </w:p>
        </w:tc>
      </w:tr>
      <w:tr w:rsidR="00406409" w:rsidTr="00406409">
        <w:tc>
          <w:tcPr>
            <w:tcW w:w="3681" w:type="dxa"/>
          </w:tcPr>
          <w:p w:rsidR="00406409" w:rsidRDefault="00406409" w:rsidP="00406409">
            <w:pPr>
              <w:jc w:val="center"/>
            </w:pPr>
            <w:r>
              <w:t>50-100 dana</w:t>
            </w:r>
          </w:p>
        </w:tc>
        <w:tc>
          <w:tcPr>
            <w:tcW w:w="5386" w:type="dxa"/>
          </w:tcPr>
          <w:p w:rsidR="00406409" w:rsidRDefault="00406409" w:rsidP="00406409">
            <w:pPr>
              <w:jc w:val="center"/>
            </w:pPr>
            <w:r>
              <w:t>5%</w:t>
            </w:r>
          </w:p>
        </w:tc>
      </w:tr>
      <w:tr w:rsidR="00406409" w:rsidTr="00406409">
        <w:tc>
          <w:tcPr>
            <w:tcW w:w="3681" w:type="dxa"/>
          </w:tcPr>
          <w:p w:rsidR="00406409" w:rsidRDefault="00406409" w:rsidP="00406409">
            <w:pPr>
              <w:jc w:val="center"/>
            </w:pPr>
            <w:r>
              <w:t>do 50 dana</w:t>
            </w:r>
          </w:p>
        </w:tc>
        <w:tc>
          <w:tcPr>
            <w:tcW w:w="5386" w:type="dxa"/>
          </w:tcPr>
          <w:p w:rsidR="00406409" w:rsidRDefault="00406409" w:rsidP="00406409">
            <w:pPr>
              <w:jc w:val="center"/>
            </w:pPr>
            <w:r>
              <w:t>2,5%</w:t>
            </w:r>
          </w:p>
        </w:tc>
      </w:tr>
    </w:tbl>
    <w:p w:rsidR="00FD1518" w:rsidRPr="00231784" w:rsidRDefault="005A31D7" w:rsidP="00FD1518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409">
        <w:rPr>
          <w:rFonts w:ascii="Times New Roman" w:hAnsi="Times New Roman" w:cs="Times New Roman"/>
          <w:color w:val="auto"/>
          <w:sz w:val="24"/>
          <w:szCs w:val="24"/>
        </w:rPr>
        <w:t>(3) H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rvatski </w:t>
      </w:r>
      <w:r w:rsidR="00406409">
        <w:rPr>
          <w:rFonts w:ascii="Times New Roman" w:hAnsi="Times New Roman" w:cs="Times New Roman"/>
          <w:color w:val="auto"/>
          <w:sz w:val="24"/>
          <w:szCs w:val="24"/>
        </w:rPr>
        <w:t xml:space="preserve">ratni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vojni invalidi (HRVI) i članovi obitelji poginuloga, umrloga, zatočenoga ili nestalnog hrvatskog branitelja, kako ih je odredio zakon, imaju pravo na potpuno oslobađanje </w:t>
      </w:r>
      <w:r w:rsidR="00406409">
        <w:rPr>
          <w:rFonts w:ascii="Times New Roman" w:hAnsi="Times New Roman" w:cs="Times New Roman"/>
          <w:color w:val="auto"/>
          <w:sz w:val="24"/>
          <w:szCs w:val="24"/>
        </w:rPr>
        <w:t xml:space="preserve">od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plaćanja komunalno</w:t>
      </w:r>
      <w:r w:rsidR="00C1345B">
        <w:rPr>
          <w:rFonts w:ascii="Times New Roman" w:hAnsi="Times New Roman" w:cs="Times New Roman"/>
          <w:color w:val="auto"/>
          <w:sz w:val="24"/>
          <w:szCs w:val="24"/>
        </w:rPr>
        <w:t>g doprinosa za gradnju il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C13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>ozakonjenje stambenog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objekta do 700 m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1518" w:rsidRPr="00231784" w:rsidRDefault="00406409" w:rsidP="00FD1518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(4)O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sobe trajne smanjene pokretljivosti kojoj su nužna za pokretljivost invalidska kolica (u daljnjem tekstu: osoba s invaliditetom) i članovi njihove uže obitelji, kako ih je odredio Zakon, uz uvjet da u projektnoj dokumentaciji za ishođenje potreb</w:t>
      </w:r>
      <w:r>
        <w:rPr>
          <w:rFonts w:ascii="Times New Roman" w:hAnsi="Times New Roman" w:cs="Times New Roman"/>
          <w:color w:val="auto"/>
          <w:sz w:val="24"/>
          <w:szCs w:val="24"/>
        </w:rPr>
        <w:t>nih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dozvola gradnje i obračun komunalnog doprinosa bude vidljiva potreba povećanog prostora radi kretanja osobe s invaliditetom, ostvaruj</w:t>
      </w:r>
      <w:r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pravo na potpuno oslobađanje komunalnog doprinosa do 120 m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D1518" w:rsidRDefault="00406409" w:rsidP="00FD1518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(5)I</w:t>
      </w:r>
      <w:r w:rsidR="00FD1518">
        <w:rPr>
          <w:rFonts w:ascii="Times New Roman" w:hAnsi="Times New Roman" w:cs="Times New Roman"/>
          <w:color w:val="auto"/>
          <w:sz w:val="24"/>
          <w:szCs w:val="24"/>
        </w:rPr>
        <w:t xml:space="preserve">nvestitor - 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>fizička osoba - (obrtnik, trgovac pojedinac i iznajmljivač koji pruža ugos</w:t>
      </w:r>
      <w:r w:rsidR="00FD1518">
        <w:rPr>
          <w:rFonts w:ascii="Times New Roman" w:hAnsi="Times New Roman" w:cs="Times New Roman"/>
          <w:color w:val="auto"/>
          <w:sz w:val="24"/>
          <w:szCs w:val="24"/>
        </w:rPr>
        <w:t>titeljske usluge u domaćinstvu)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koji novom gradnjom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 xml:space="preserve"> objekta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ulaže u izgradnju poslovnog objekta u kojem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 xml:space="preserve"> će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se obavlja</w:t>
      </w:r>
      <w:r w:rsidR="0082605B">
        <w:rPr>
          <w:rFonts w:ascii="Times New Roman" w:hAnsi="Times New Roman" w:cs="Times New Roman"/>
          <w:color w:val="auto"/>
          <w:sz w:val="24"/>
          <w:szCs w:val="24"/>
        </w:rPr>
        <w:t>ti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proizvodna ili uslužna djelatnost, kod utvrđivanja komunalnog doprinosa ima pravo na oslobađanje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plaćanja komunalnog doprinosa za 20% te nema pravo na kumulativno oslobađanje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od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plaćanja komunalnog doprinosa 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FD1518" w:rsidRPr="00231784">
        <w:rPr>
          <w:rFonts w:ascii="Times New Roman" w:hAnsi="Times New Roman" w:cs="Times New Roman"/>
          <w:color w:val="auto"/>
          <w:sz w:val="24"/>
          <w:szCs w:val="24"/>
        </w:rPr>
        <w:t xml:space="preserve"> drugom osnovom iz ove Odluke.</w:t>
      </w:r>
    </w:p>
    <w:p w:rsidR="00616CEC" w:rsidRDefault="00616CEC" w:rsidP="00616CEC">
      <w:pPr>
        <w:jc w:val="both"/>
        <w:rPr>
          <w:color w:val="0070C0"/>
        </w:rPr>
      </w:pPr>
      <w:r>
        <w:t>(6)</w:t>
      </w:r>
      <w:r w:rsidRPr="00231784">
        <w:t>Prebivalište, neposjedovanje kuće</w:t>
      </w:r>
      <w:r>
        <w:t xml:space="preserve"> ili </w:t>
      </w:r>
      <w:r w:rsidRPr="00231784">
        <w:t>stana, status hrvatskog branitelja, broj dana provedenih na ratištu</w:t>
      </w:r>
      <w:r>
        <w:t>, invaliditet</w:t>
      </w:r>
      <w:r w:rsidRPr="00231784">
        <w:t xml:space="preserve"> te ostali podaci</w:t>
      </w:r>
      <w:r>
        <w:t xml:space="preserve"> potrebni za utvrđivanje prava na oslobađanje propisano ovim člankom </w:t>
      </w:r>
      <w:r w:rsidRPr="00231784">
        <w:t>dokazuju se potvrdama nadležnih državnih tijela</w:t>
      </w:r>
      <w:r>
        <w:t>.</w:t>
      </w:r>
    </w:p>
    <w:p w:rsidR="00616CEC" w:rsidRDefault="00616CEC" w:rsidP="00616CEC"/>
    <w:p w:rsidR="00D11860" w:rsidRPr="00112A9F" w:rsidRDefault="00D11860" w:rsidP="00177629">
      <w:pPr>
        <w:jc w:val="both"/>
      </w:pPr>
      <w:r>
        <w:t>(7)</w:t>
      </w:r>
      <w:r w:rsidRPr="00112A9F">
        <w:t>U slučaju iz stavka 2. i 3. ovog člank</w:t>
      </w:r>
      <w:bookmarkStart w:id="0" w:name="_GoBack"/>
      <w:bookmarkEnd w:id="0"/>
      <w:r w:rsidRPr="00112A9F">
        <w:t xml:space="preserve">a kod izračuna priznaje se pravo </w:t>
      </w:r>
      <w:r w:rsidR="00177629" w:rsidRPr="00112A9F">
        <w:t xml:space="preserve">na oslobađanje na obujam </w:t>
      </w:r>
      <w:r w:rsidRPr="00112A9F">
        <w:t>objekt</w:t>
      </w:r>
      <w:r w:rsidR="00177629" w:rsidRPr="00112A9F">
        <w:t>a</w:t>
      </w:r>
      <w:r w:rsidRPr="00112A9F">
        <w:t xml:space="preserve"> do</w:t>
      </w:r>
      <w:r w:rsidR="00E074E7">
        <w:t xml:space="preserve"> ukupno 700 m³</w:t>
      </w:r>
      <w:r w:rsidR="00177629" w:rsidRPr="00112A9F">
        <w:t xml:space="preserve"> nadograđenog</w:t>
      </w:r>
      <w:r w:rsidRPr="00112A9F">
        <w:t xml:space="preserve"> di</w:t>
      </w:r>
      <w:r w:rsidR="00177629" w:rsidRPr="00112A9F">
        <w:t>jela.</w:t>
      </w:r>
    </w:p>
    <w:p w:rsidR="00D11860" w:rsidRPr="00112A9F" w:rsidRDefault="00D11860" w:rsidP="00A719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719FC" w:rsidRPr="00231784" w:rsidRDefault="00A719FC" w:rsidP="00A719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Članak 13.</w:t>
      </w:r>
    </w:p>
    <w:p w:rsidR="00A719FC" w:rsidRDefault="009C48D2" w:rsidP="00A719F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8D2">
        <w:rPr>
          <w:rFonts w:ascii="Times New Roman" w:hAnsi="Times New Roman" w:cs="Times New Roman"/>
          <w:color w:val="auto"/>
          <w:sz w:val="24"/>
          <w:szCs w:val="24"/>
        </w:rPr>
        <w:t>Komunalni doprinos iznosi 20% iznosa pr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9C48D2">
        <w:rPr>
          <w:rFonts w:ascii="Times New Roman" w:hAnsi="Times New Roman" w:cs="Times New Roman"/>
          <w:color w:val="auto"/>
          <w:sz w:val="24"/>
          <w:szCs w:val="24"/>
        </w:rPr>
        <w:t xml:space="preserve">pisanog člankom 4. ove Odluke za gradnju </w:t>
      </w:r>
      <w:r w:rsidRPr="009C48D2">
        <w:rPr>
          <w:rFonts w:ascii="Times New Roman" w:hAnsi="Times New Roman" w:cs="Times New Roman"/>
          <w:sz w:val="24"/>
          <w:szCs w:val="24"/>
        </w:rPr>
        <w:t>zgrada za javnu,</w:t>
      </w:r>
      <w:r w:rsidR="00026881">
        <w:rPr>
          <w:rFonts w:ascii="Times New Roman" w:hAnsi="Times New Roman" w:cs="Times New Roman"/>
          <w:sz w:val="24"/>
          <w:szCs w:val="24"/>
        </w:rPr>
        <w:t xml:space="preserve"> društvenu,</w:t>
      </w:r>
      <w:r w:rsidRPr="009C48D2">
        <w:rPr>
          <w:rFonts w:ascii="Times New Roman" w:hAnsi="Times New Roman" w:cs="Times New Roman"/>
          <w:sz w:val="24"/>
          <w:szCs w:val="24"/>
        </w:rPr>
        <w:t xml:space="preserve"> kulturnu</w:t>
      </w:r>
      <w:r w:rsidR="0002688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48D2">
        <w:rPr>
          <w:rFonts w:ascii="Times New Roman" w:hAnsi="Times New Roman" w:cs="Times New Roman"/>
          <w:sz w:val="24"/>
          <w:szCs w:val="24"/>
        </w:rPr>
        <w:t>portsku djelatnost, objekte socijalne zaštite i zdravstva, vjerske objekte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719FC" w:rsidRPr="009C48D2" w:rsidRDefault="00A719FC" w:rsidP="00A719F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Članak 14.</w:t>
      </w:r>
    </w:p>
    <w:p w:rsidR="00AE2184" w:rsidRDefault="00A719FC" w:rsidP="001E619B">
      <w:pPr>
        <w:jc w:val="both"/>
      </w:pPr>
      <w:r>
        <w:t>(1)</w:t>
      </w:r>
      <w:r w:rsidR="001E619B">
        <w:t>Obveznici komunalnog doprinosa kojima je utvrđen komunalni doprinos za izgradnju</w:t>
      </w:r>
      <w:r w:rsidR="008351AE">
        <w:t xml:space="preserve"> </w:t>
      </w:r>
      <w:bookmarkStart w:id="1" w:name="_Hlk534796908"/>
      <w:r w:rsidR="008351AE">
        <w:t xml:space="preserve">objekata iz skupine </w:t>
      </w:r>
      <w:r w:rsidR="001E619B">
        <w:t>hotela</w:t>
      </w:r>
      <w:r w:rsidR="008351AE">
        <w:t xml:space="preserve"> sukladno Pravilniku o razvrstavanju, kategorizaciji i posebnim standardima ugostiteljskih objekata iz skupine hoteli </w:t>
      </w:r>
      <w:bookmarkEnd w:id="1"/>
      <w:r w:rsidR="008351AE">
        <w:t xml:space="preserve">koji će biti kategorizirani s 5 zvjezdica, kao i obveznicima komunalnog doprinosa kojima je utvrđen komunalni doprinos za nadogradnju kao </w:t>
      </w:r>
      <w:r>
        <w:t xml:space="preserve">i </w:t>
      </w:r>
      <w:r w:rsidR="008351AE">
        <w:t>rekonstrukciju</w:t>
      </w:r>
      <w:r>
        <w:t xml:space="preserve"> hotela kojima će biti podignuta kategorizacija objekta s manje kategorizacije na najmanje višu kategorizaciju od 5 zvjezdica, mogu u roku od 3 mjeseca od dana izdane uporabne dozvole zatražiti izmjenu rješenja o komunalnom doprinosu na način da ih se djelomično oslobodi plaćanja komunalnog dop</w:t>
      </w:r>
      <w:r w:rsidR="007C368E">
        <w:t>r</w:t>
      </w:r>
      <w:r>
        <w:t>inosa za 50% utvrđenog iznosa.</w:t>
      </w:r>
      <w:r w:rsidR="008351AE">
        <w:t xml:space="preserve"> </w:t>
      </w:r>
    </w:p>
    <w:p w:rsidR="008351AE" w:rsidRDefault="008351AE" w:rsidP="001E619B">
      <w:pPr>
        <w:jc w:val="both"/>
        <w:rPr>
          <w:color w:val="FF0000"/>
        </w:rPr>
      </w:pPr>
    </w:p>
    <w:p w:rsidR="008351AE" w:rsidRPr="00A719FC" w:rsidRDefault="00A719FC" w:rsidP="001E619B">
      <w:pPr>
        <w:jc w:val="both"/>
      </w:pPr>
      <w:r w:rsidRPr="00A719FC">
        <w:t>(2)Obveznic</w:t>
      </w:r>
      <w:r>
        <w:t>i komunalnog doprinosa kojima je utvrđen komunalni doprinos za izgradnju objekata iz skupine hotela sukladno Pravilniku o razvrstavanju, kategorizaciji i posebnim standardima ugostiteljskih objekata iz skupine hoteli koji će biti kategorizirani s 4 zvjezdice, kao i obveznicima komunalnog doprinosa kojima je utvrđen komunalni doprinos za nadogradnju kao i rekonstrukciju hotela kojima će biti podignuta kategorizacija objekta s manje kategorizacije na najmanje višu kategorizaciju od 4 zvjezdice, mogu u roku od 3 mjeseca od dana izdane uporabne dozvole zatražiti izmjenu rješenja o komunalnom doprinosu na način da ih se djelomično oslobodi plaćanja komunalnog dop</w:t>
      </w:r>
      <w:r w:rsidR="00616CEC">
        <w:t>r</w:t>
      </w:r>
      <w:r>
        <w:t>inosa za 40% utvrđenog iznosa.</w:t>
      </w:r>
    </w:p>
    <w:p w:rsidR="009B3CDA" w:rsidRDefault="009B3CDA" w:rsidP="0081463A"/>
    <w:p w:rsidR="00616CEC" w:rsidRDefault="00616CEC" w:rsidP="00616CEC">
      <w:pPr>
        <w:jc w:val="center"/>
      </w:pPr>
      <w:r>
        <w:t>Članak 15.</w:t>
      </w:r>
    </w:p>
    <w:p w:rsidR="009B3CDA" w:rsidRDefault="00616CEC" w:rsidP="00616CEC">
      <w:pPr>
        <w:jc w:val="both"/>
      </w:pPr>
      <w:r>
        <w:t xml:space="preserve">(1)Obveznici plaćanja komunalnog doprinosa pravo na oslobađanje sukladno člancima od 12.- 14. ove Odluke </w:t>
      </w:r>
      <w:r w:rsidR="009B3CDA">
        <w:t xml:space="preserve">mogu koristiti samo jedanput. </w:t>
      </w:r>
    </w:p>
    <w:p w:rsidR="00026881" w:rsidRPr="00026881" w:rsidRDefault="00026881" w:rsidP="00616CEC">
      <w:pPr>
        <w:jc w:val="both"/>
      </w:pPr>
      <w:r>
        <w:t>(</w:t>
      </w:r>
      <w:r w:rsidR="00616CEC">
        <w:t>2</w:t>
      </w:r>
      <w:r>
        <w:t>)Umanjenj</w:t>
      </w:r>
      <w:r w:rsidR="00616CEC">
        <w:t>a</w:t>
      </w:r>
      <w:r>
        <w:t xml:space="preserve"> komunalnog doprinosa u smislu njegovog djelomičnog oslobađanja iz član</w:t>
      </w:r>
      <w:r w:rsidR="00616CEC">
        <w:t xml:space="preserve">aka </w:t>
      </w:r>
      <w:r>
        <w:t xml:space="preserve"> </w:t>
      </w:r>
      <w:r w:rsidR="00616CEC">
        <w:t>12 – 14.</w:t>
      </w:r>
      <w:r>
        <w:t xml:space="preserve"> ove Odluke ne mogu se kumulirati, već će se obvezniku izvršiti obračun po osnovi koja je za njega povoljnija.</w:t>
      </w:r>
    </w:p>
    <w:p w:rsidR="00616CEC" w:rsidRDefault="00616CEC" w:rsidP="00A20EDE"/>
    <w:p w:rsidR="00BD0B77" w:rsidRPr="00026881" w:rsidRDefault="00D00FA2" w:rsidP="00A20EDE">
      <w:r w:rsidRPr="00026881">
        <w:t>V</w:t>
      </w:r>
      <w:r w:rsidR="00F8215B" w:rsidRPr="00026881">
        <w:t>.</w:t>
      </w:r>
      <w:r w:rsidRPr="00026881">
        <w:t xml:space="preserve"> PRIJELAZNE I ZAVRŠNE ODREDBE </w:t>
      </w:r>
    </w:p>
    <w:p w:rsidR="00D00FA2" w:rsidRPr="00026881" w:rsidRDefault="00D00FA2" w:rsidP="00A20EDE">
      <w:pPr>
        <w:rPr>
          <w:color w:val="0070C0"/>
        </w:rPr>
      </w:pPr>
    </w:p>
    <w:p w:rsidR="00D252C5" w:rsidRPr="00B120C0" w:rsidRDefault="0056283A" w:rsidP="00B120C0">
      <w:pPr>
        <w:jc w:val="center"/>
      </w:pPr>
      <w:r w:rsidRPr="00026881">
        <w:t xml:space="preserve">Članak </w:t>
      </w:r>
      <w:r w:rsidR="00B120C0">
        <w:t>1</w:t>
      </w:r>
      <w:r w:rsidR="00F068B0">
        <w:t>6</w:t>
      </w:r>
      <w:r w:rsidR="00D252C5" w:rsidRPr="00026881">
        <w:t>.</w:t>
      </w:r>
    </w:p>
    <w:p w:rsidR="00121247" w:rsidRPr="0096264F" w:rsidRDefault="00D252C5" w:rsidP="00A75F8D">
      <w:pPr>
        <w:jc w:val="both"/>
      </w:pPr>
      <w:r w:rsidRPr="0096264F">
        <w:tab/>
        <w:t xml:space="preserve">Postupci </w:t>
      </w:r>
      <w:r w:rsidR="00AE2184">
        <w:t xml:space="preserve">donošenja rješenja o komunalnom doprinosu </w:t>
      </w:r>
      <w:r w:rsidRPr="0096264F">
        <w:t>započeti po Od</w:t>
      </w:r>
      <w:r w:rsidR="0056283A">
        <w:t>luci o komunalnom doprinosu (</w:t>
      </w:r>
      <w:r w:rsidR="009957C3">
        <w:t>„</w:t>
      </w:r>
      <w:r w:rsidR="0056283A">
        <w:t>Službene novine Primorsko-goranske županije</w:t>
      </w:r>
      <w:r w:rsidR="009957C3">
        <w:t>“</w:t>
      </w:r>
      <w:r w:rsidR="0056283A">
        <w:t xml:space="preserve"> br</w:t>
      </w:r>
      <w:r w:rsidRPr="0096264F">
        <w:t xml:space="preserve">. </w:t>
      </w:r>
      <w:r w:rsidR="0056283A" w:rsidRPr="0056283A">
        <w:rPr>
          <w:bCs/>
        </w:rPr>
        <w:t>25/10, 48/12, 6/13, 36/13, 34/15 i 13/16</w:t>
      </w:r>
      <w:r w:rsidRPr="0096264F">
        <w:t xml:space="preserve">) do dana stupanja na snagu ove Odluke dovršit će se prema odredbama </w:t>
      </w:r>
      <w:r w:rsidR="00AE2184">
        <w:t xml:space="preserve">te </w:t>
      </w:r>
      <w:r w:rsidRPr="0096264F">
        <w:t xml:space="preserve">Odluke. </w:t>
      </w:r>
      <w:r w:rsidR="00A75F8D" w:rsidRPr="0096264F">
        <w:t xml:space="preserve"> </w:t>
      </w:r>
    </w:p>
    <w:p w:rsidR="002B20E2" w:rsidRPr="00B120C0" w:rsidRDefault="00C34C72" w:rsidP="00B120C0">
      <w:pPr>
        <w:jc w:val="center"/>
      </w:pPr>
      <w:r w:rsidRPr="00B120C0">
        <w:t xml:space="preserve">Članak </w:t>
      </w:r>
      <w:r w:rsidR="00B120C0" w:rsidRPr="00B120C0">
        <w:t>1</w:t>
      </w:r>
      <w:r w:rsidR="00F068B0">
        <w:t>7</w:t>
      </w:r>
      <w:r w:rsidRPr="00B120C0">
        <w:t>.</w:t>
      </w:r>
    </w:p>
    <w:p w:rsidR="002B20E2" w:rsidRPr="0096264F" w:rsidRDefault="00D00FA2" w:rsidP="002B20E2">
      <w:pPr>
        <w:jc w:val="both"/>
      </w:pPr>
      <w:r w:rsidRPr="0096264F">
        <w:rPr>
          <w:color w:val="0070C0"/>
        </w:rPr>
        <w:tab/>
      </w:r>
      <w:r w:rsidR="00DB0CD3" w:rsidRPr="0096264F">
        <w:t>Stupanjem na snagu ove Odluke prestaje važiti Odluka o komunalnom doprinosu (</w:t>
      </w:r>
      <w:r w:rsidR="009957C3">
        <w:t>„</w:t>
      </w:r>
      <w:r w:rsidR="0056283A">
        <w:t>Službene novine Primorsko-goranske županije</w:t>
      </w:r>
      <w:r w:rsidR="009957C3">
        <w:t>“</w:t>
      </w:r>
      <w:r w:rsidR="0056283A">
        <w:t xml:space="preserve"> br</w:t>
      </w:r>
      <w:r w:rsidR="0056283A" w:rsidRPr="0096264F">
        <w:t xml:space="preserve">. </w:t>
      </w:r>
      <w:r w:rsidR="0056283A" w:rsidRPr="0056283A">
        <w:rPr>
          <w:bCs/>
        </w:rPr>
        <w:t>25/10, 48/12, 6/13, 36/13, 34/15 i 13/16</w:t>
      </w:r>
      <w:r w:rsidR="00DB0CD3" w:rsidRPr="0096264F">
        <w:t>).</w:t>
      </w:r>
    </w:p>
    <w:p w:rsidR="00814097" w:rsidRPr="0096264F" w:rsidRDefault="00814097" w:rsidP="002B20E2">
      <w:pPr>
        <w:jc w:val="both"/>
      </w:pPr>
    </w:p>
    <w:p w:rsidR="002B20E2" w:rsidRPr="00B120C0" w:rsidRDefault="002B20E2" w:rsidP="00B120C0">
      <w:pPr>
        <w:jc w:val="center"/>
      </w:pPr>
      <w:r w:rsidRPr="00B120C0">
        <w:t>Č</w:t>
      </w:r>
      <w:r w:rsidR="00D00FA2" w:rsidRPr="00B120C0">
        <w:t xml:space="preserve">lanak </w:t>
      </w:r>
      <w:r w:rsidR="00B120C0" w:rsidRPr="00B120C0">
        <w:t>1</w:t>
      </w:r>
      <w:r w:rsidR="00F068B0">
        <w:t>8</w:t>
      </w:r>
      <w:r w:rsidR="00D00FA2" w:rsidRPr="00B120C0">
        <w:t>.</w:t>
      </w:r>
    </w:p>
    <w:p w:rsidR="00D00FA2" w:rsidRPr="0096264F" w:rsidRDefault="0056283A" w:rsidP="002B20E2">
      <w:pPr>
        <w:ind w:firstLine="708"/>
        <w:jc w:val="both"/>
      </w:pPr>
      <w:r>
        <w:t>Ova Odluka stupa na snagu osmog dana od dana objave u »Službenim novinama Primorsko-goranske županije«.</w:t>
      </w:r>
    </w:p>
    <w:p w:rsidR="00F965B3" w:rsidRPr="0096264F" w:rsidRDefault="00F965B3" w:rsidP="00A20EDE"/>
    <w:p w:rsidR="00F965B3" w:rsidRPr="00F965B3" w:rsidRDefault="00F965B3" w:rsidP="00F965B3">
      <w:pPr>
        <w:pStyle w:val="Heading3"/>
        <w:keepLines w:val="0"/>
        <w:widowControl w:val="0"/>
        <w:numPr>
          <w:ilvl w:val="2"/>
          <w:numId w:val="8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3">
        <w:rPr>
          <w:rFonts w:ascii="Times New Roman" w:hAnsi="Times New Roman" w:cs="Times New Roman"/>
          <w:b w:val="0"/>
          <w:color w:val="auto"/>
        </w:rPr>
        <w:t xml:space="preserve">OPĆINSKO VIJEĆE </w:t>
      </w:r>
    </w:p>
    <w:p w:rsidR="00F965B3" w:rsidRPr="00F965B3" w:rsidRDefault="00F965B3" w:rsidP="00F965B3">
      <w:pPr>
        <w:pStyle w:val="Heading3"/>
        <w:keepLines w:val="0"/>
        <w:widowControl w:val="0"/>
        <w:numPr>
          <w:ilvl w:val="2"/>
          <w:numId w:val="8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965B3">
        <w:rPr>
          <w:rFonts w:ascii="Times New Roman" w:hAnsi="Times New Roman" w:cs="Times New Roman"/>
          <w:b w:val="0"/>
          <w:color w:val="auto"/>
        </w:rPr>
        <w:t>OPĆINE PUNAT</w:t>
      </w:r>
    </w:p>
    <w:p w:rsidR="00F965B3" w:rsidRPr="007A4AF3" w:rsidRDefault="00F965B3" w:rsidP="00F965B3"/>
    <w:p w:rsidR="00F965B3" w:rsidRPr="007A4AF3" w:rsidRDefault="00F965B3" w:rsidP="00F965B3">
      <w:r w:rsidRPr="007A4AF3">
        <w:t xml:space="preserve">            </w:t>
      </w:r>
    </w:p>
    <w:p w:rsidR="00F965B3" w:rsidRPr="007A4AF3" w:rsidRDefault="00F965B3" w:rsidP="00F965B3"/>
    <w:p w:rsidR="00F965B3" w:rsidRPr="007A4AF3" w:rsidRDefault="00F965B3" w:rsidP="00F965B3">
      <w:pPr>
        <w:jc w:val="center"/>
      </w:pP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  <w:t xml:space="preserve">PREDSJEDNIK </w:t>
      </w:r>
    </w:p>
    <w:p w:rsidR="00814097" w:rsidRPr="002A0270" w:rsidRDefault="00F965B3" w:rsidP="0032127F">
      <w:pPr>
        <w:jc w:val="center"/>
        <w:rPr>
          <w:rFonts w:ascii="Arial" w:hAnsi="Arial" w:cs="Arial"/>
          <w:sz w:val="22"/>
          <w:szCs w:val="22"/>
        </w:rPr>
      </w:pP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</w:r>
      <w:r w:rsidRPr="007A4AF3">
        <w:tab/>
        <w:t>Goran Gržančić, dr.med.</w:t>
      </w:r>
      <w:r w:rsidR="00F47448">
        <w:t>,v.r.</w:t>
      </w:r>
    </w:p>
    <w:sectPr w:rsidR="00814097" w:rsidRPr="002A0270" w:rsidSect="0032127F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6C" w:rsidRDefault="007B356C" w:rsidP="00212C67">
      <w:r>
        <w:separator/>
      </w:r>
    </w:p>
  </w:endnote>
  <w:endnote w:type="continuationSeparator" w:id="0">
    <w:p w:rsidR="007B356C" w:rsidRDefault="007B356C" w:rsidP="0021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84" w:rsidRDefault="006A2758">
    <w:pPr>
      <w:pStyle w:val="Footer"/>
      <w:jc w:val="right"/>
    </w:pPr>
    <w:r>
      <w:rPr>
        <w:noProof/>
      </w:rPr>
      <w:fldChar w:fldCharType="begin"/>
    </w:r>
    <w:r w:rsidR="00AE2184">
      <w:rPr>
        <w:noProof/>
      </w:rPr>
      <w:instrText>PAGE   \* MERGEFORMAT</w:instrText>
    </w:r>
    <w:r>
      <w:rPr>
        <w:noProof/>
      </w:rPr>
      <w:fldChar w:fldCharType="separate"/>
    </w:r>
    <w:r w:rsidR="007B356C">
      <w:rPr>
        <w:noProof/>
      </w:rPr>
      <w:t>1</w:t>
    </w:r>
    <w:r>
      <w:rPr>
        <w:noProof/>
      </w:rPr>
      <w:fldChar w:fldCharType="end"/>
    </w:r>
  </w:p>
  <w:p w:rsidR="00AE2184" w:rsidRDefault="00AE2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6C" w:rsidRDefault="007B356C" w:rsidP="00212C67">
      <w:r>
        <w:separator/>
      </w:r>
    </w:p>
  </w:footnote>
  <w:footnote w:type="continuationSeparator" w:id="0">
    <w:p w:rsidR="007B356C" w:rsidRDefault="007B356C" w:rsidP="0021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443"/>
    <w:multiLevelType w:val="hybridMultilevel"/>
    <w:tmpl w:val="D1380D14"/>
    <w:lvl w:ilvl="0" w:tplc="21F0717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0670E"/>
    <w:multiLevelType w:val="hybridMultilevel"/>
    <w:tmpl w:val="3AB4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790B"/>
    <w:multiLevelType w:val="hybridMultilevel"/>
    <w:tmpl w:val="B600AB68"/>
    <w:lvl w:ilvl="0" w:tplc="218653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13AB"/>
    <w:multiLevelType w:val="hybridMultilevel"/>
    <w:tmpl w:val="69F8A640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992"/>
    <w:multiLevelType w:val="hybridMultilevel"/>
    <w:tmpl w:val="9B1051D8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D0A4E"/>
    <w:multiLevelType w:val="hybridMultilevel"/>
    <w:tmpl w:val="F0F2042A"/>
    <w:lvl w:ilvl="0" w:tplc="0860B1D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62239E5"/>
    <w:multiLevelType w:val="hybridMultilevel"/>
    <w:tmpl w:val="A3ACA4B8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56066"/>
    <w:multiLevelType w:val="hybridMultilevel"/>
    <w:tmpl w:val="06EA8C76"/>
    <w:lvl w:ilvl="0" w:tplc="79807F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7E9C"/>
    <w:rsid w:val="000004AA"/>
    <w:rsid w:val="00023914"/>
    <w:rsid w:val="00026881"/>
    <w:rsid w:val="00027BC8"/>
    <w:rsid w:val="00030410"/>
    <w:rsid w:val="00030D7A"/>
    <w:rsid w:val="00030DC3"/>
    <w:rsid w:val="000404E6"/>
    <w:rsid w:val="00040E61"/>
    <w:rsid w:val="00043524"/>
    <w:rsid w:val="00051761"/>
    <w:rsid w:val="000527EA"/>
    <w:rsid w:val="000532D0"/>
    <w:rsid w:val="000574BA"/>
    <w:rsid w:val="00066233"/>
    <w:rsid w:val="00085655"/>
    <w:rsid w:val="00095425"/>
    <w:rsid w:val="000B7071"/>
    <w:rsid w:val="000C718D"/>
    <w:rsid w:val="000D3D2F"/>
    <w:rsid w:val="000D4186"/>
    <w:rsid w:val="000E5626"/>
    <w:rsid w:val="000F7C66"/>
    <w:rsid w:val="0010224C"/>
    <w:rsid w:val="00112A9F"/>
    <w:rsid w:val="00114288"/>
    <w:rsid w:val="00121247"/>
    <w:rsid w:val="001330DE"/>
    <w:rsid w:val="0013472B"/>
    <w:rsid w:val="00135ACA"/>
    <w:rsid w:val="001524D1"/>
    <w:rsid w:val="00164825"/>
    <w:rsid w:val="00177629"/>
    <w:rsid w:val="0018191C"/>
    <w:rsid w:val="00185EC3"/>
    <w:rsid w:val="001A046C"/>
    <w:rsid w:val="001A6D1E"/>
    <w:rsid w:val="001B5DCC"/>
    <w:rsid w:val="001C786A"/>
    <w:rsid w:val="001E2502"/>
    <w:rsid w:val="001E4401"/>
    <w:rsid w:val="001E45EC"/>
    <w:rsid w:val="001E619B"/>
    <w:rsid w:val="00206E0C"/>
    <w:rsid w:val="00212C67"/>
    <w:rsid w:val="00215F78"/>
    <w:rsid w:val="00217E9C"/>
    <w:rsid w:val="002257C6"/>
    <w:rsid w:val="0023423D"/>
    <w:rsid w:val="00243813"/>
    <w:rsid w:val="00244005"/>
    <w:rsid w:val="002535B3"/>
    <w:rsid w:val="00257F13"/>
    <w:rsid w:val="00277082"/>
    <w:rsid w:val="002823A5"/>
    <w:rsid w:val="002976DC"/>
    <w:rsid w:val="00297850"/>
    <w:rsid w:val="002A0270"/>
    <w:rsid w:val="002A670A"/>
    <w:rsid w:val="002B0A85"/>
    <w:rsid w:val="002B20E2"/>
    <w:rsid w:val="002E7618"/>
    <w:rsid w:val="00315C3B"/>
    <w:rsid w:val="00320533"/>
    <w:rsid w:val="0032127F"/>
    <w:rsid w:val="00331BED"/>
    <w:rsid w:val="0035007B"/>
    <w:rsid w:val="003541CF"/>
    <w:rsid w:val="0035558F"/>
    <w:rsid w:val="00360531"/>
    <w:rsid w:val="0038640A"/>
    <w:rsid w:val="00393FF9"/>
    <w:rsid w:val="003A03C1"/>
    <w:rsid w:val="003A2A8E"/>
    <w:rsid w:val="003B0BDE"/>
    <w:rsid w:val="003B3334"/>
    <w:rsid w:val="003C01D4"/>
    <w:rsid w:val="003C58DE"/>
    <w:rsid w:val="003D2D91"/>
    <w:rsid w:val="003E7894"/>
    <w:rsid w:val="004031BE"/>
    <w:rsid w:val="00406409"/>
    <w:rsid w:val="00417EC5"/>
    <w:rsid w:val="00424610"/>
    <w:rsid w:val="00430013"/>
    <w:rsid w:val="00442A9F"/>
    <w:rsid w:val="00443211"/>
    <w:rsid w:val="00446518"/>
    <w:rsid w:val="004579A3"/>
    <w:rsid w:val="00462699"/>
    <w:rsid w:val="0046729D"/>
    <w:rsid w:val="004701BA"/>
    <w:rsid w:val="0047522F"/>
    <w:rsid w:val="00477495"/>
    <w:rsid w:val="00486135"/>
    <w:rsid w:val="004A7562"/>
    <w:rsid w:val="004A7A2D"/>
    <w:rsid w:val="004B53AD"/>
    <w:rsid w:val="004B5E17"/>
    <w:rsid w:val="004C6EBE"/>
    <w:rsid w:val="00514BCB"/>
    <w:rsid w:val="00527BF1"/>
    <w:rsid w:val="0055789B"/>
    <w:rsid w:val="0056283A"/>
    <w:rsid w:val="0056311D"/>
    <w:rsid w:val="00566B68"/>
    <w:rsid w:val="00575099"/>
    <w:rsid w:val="00581554"/>
    <w:rsid w:val="00592F34"/>
    <w:rsid w:val="00593278"/>
    <w:rsid w:val="00597E4A"/>
    <w:rsid w:val="005A133B"/>
    <w:rsid w:val="005A31D7"/>
    <w:rsid w:val="005D48E7"/>
    <w:rsid w:val="005F18A1"/>
    <w:rsid w:val="00604DCF"/>
    <w:rsid w:val="00610175"/>
    <w:rsid w:val="00612AF6"/>
    <w:rsid w:val="006136FC"/>
    <w:rsid w:val="00616CEC"/>
    <w:rsid w:val="006260CC"/>
    <w:rsid w:val="006264FC"/>
    <w:rsid w:val="006376EC"/>
    <w:rsid w:val="00641667"/>
    <w:rsid w:val="006522BA"/>
    <w:rsid w:val="00654A23"/>
    <w:rsid w:val="0066600C"/>
    <w:rsid w:val="00666D50"/>
    <w:rsid w:val="00683B70"/>
    <w:rsid w:val="006A2758"/>
    <w:rsid w:val="006B55B0"/>
    <w:rsid w:val="006C1E1F"/>
    <w:rsid w:val="006C5EC6"/>
    <w:rsid w:val="006C673E"/>
    <w:rsid w:val="006F090C"/>
    <w:rsid w:val="00713D8B"/>
    <w:rsid w:val="0071540D"/>
    <w:rsid w:val="00734F56"/>
    <w:rsid w:val="00735489"/>
    <w:rsid w:val="007556E0"/>
    <w:rsid w:val="0076114F"/>
    <w:rsid w:val="00770469"/>
    <w:rsid w:val="00775D6D"/>
    <w:rsid w:val="0077680B"/>
    <w:rsid w:val="00786500"/>
    <w:rsid w:val="00791079"/>
    <w:rsid w:val="00794F2A"/>
    <w:rsid w:val="00796B74"/>
    <w:rsid w:val="007A0D9D"/>
    <w:rsid w:val="007B356C"/>
    <w:rsid w:val="007B72A0"/>
    <w:rsid w:val="007C368E"/>
    <w:rsid w:val="007C3AE1"/>
    <w:rsid w:val="007E1AD8"/>
    <w:rsid w:val="007E4A02"/>
    <w:rsid w:val="00814097"/>
    <w:rsid w:val="0081463A"/>
    <w:rsid w:val="0082605B"/>
    <w:rsid w:val="00826EB2"/>
    <w:rsid w:val="00827C7A"/>
    <w:rsid w:val="00834320"/>
    <w:rsid w:val="008351AE"/>
    <w:rsid w:val="00835579"/>
    <w:rsid w:val="00855CBC"/>
    <w:rsid w:val="00857B7C"/>
    <w:rsid w:val="008636D7"/>
    <w:rsid w:val="00864E4A"/>
    <w:rsid w:val="008758AB"/>
    <w:rsid w:val="00877F96"/>
    <w:rsid w:val="00884569"/>
    <w:rsid w:val="00887433"/>
    <w:rsid w:val="00893702"/>
    <w:rsid w:val="008B3C8C"/>
    <w:rsid w:val="008B65CB"/>
    <w:rsid w:val="008C19B9"/>
    <w:rsid w:val="008C43B9"/>
    <w:rsid w:val="008D1482"/>
    <w:rsid w:val="008E7E77"/>
    <w:rsid w:val="008F6896"/>
    <w:rsid w:val="009046EA"/>
    <w:rsid w:val="00916418"/>
    <w:rsid w:val="00920A1F"/>
    <w:rsid w:val="00922751"/>
    <w:rsid w:val="009328E8"/>
    <w:rsid w:val="00937D13"/>
    <w:rsid w:val="00953CD6"/>
    <w:rsid w:val="0096264F"/>
    <w:rsid w:val="00962FEA"/>
    <w:rsid w:val="00963C2F"/>
    <w:rsid w:val="00977475"/>
    <w:rsid w:val="00983D1E"/>
    <w:rsid w:val="009957C3"/>
    <w:rsid w:val="00995827"/>
    <w:rsid w:val="009A0193"/>
    <w:rsid w:val="009A0827"/>
    <w:rsid w:val="009A0DA2"/>
    <w:rsid w:val="009A4014"/>
    <w:rsid w:val="009B3CDA"/>
    <w:rsid w:val="009C3058"/>
    <w:rsid w:val="009C48D2"/>
    <w:rsid w:val="009C726D"/>
    <w:rsid w:val="009F6F11"/>
    <w:rsid w:val="009F764F"/>
    <w:rsid w:val="00A0041C"/>
    <w:rsid w:val="00A014A0"/>
    <w:rsid w:val="00A01975"/>
    <w:rsid w:val="00A03A81"/>
    <w:rsid w:val="00A20EDE"/>
    <w:rsid w:val="00A54D99"/>
    <w:rsid w:val="00A719FC"/>
    <w:rsid w:val="00A75F8D"/>
    <w:rsid w:val="00A76A78"/>
    <w:rsid w:val="00A77E50"/>
    <w:rsid w:val="00A92031"/>
    <w:rsid w:val="00AA099C"/>
    <w:rsid w:val="00AC06AE"/>
    <w:rsid w:val="00AC159B"/>
    <w:rsid w:val="00AE2184"/>
    <w:rsid w:val="00AE3240"/>
    <w:rsid w:val="00B04345"/>
    <w:rsid w:val="00B044A0"/>
    <w:rsid w:val="00B120C0"/>
    <w:rsid w:val="00B312AB"/>
    <w:rsid w:val="00B7424F"/>
    <w:rsid w:val="00B82948"/>
    <w:rsid w:val="00B853AD"/>
    <w:rsid w:val="00B9094D"/>
    <w:rsid w:val="00B91716"/>
    <w:rsid w:val="00BA53FC"/>
    <w:rsid w:val="00BB15AE"/>
    <w:rsid w:val="00BB3284"/>
    <w:rsid w:val="00BB5ECC"/>
    <w:rsid w:val="00BD0B77"/>
    <w:rsid w:val="00BD5D28"/>
    <w:rsid w:val="00BE502C"/>
    <w:rsid w:val="00BF51A6"/>
    <w:rsid w:val="00C03831"/>
    <w:rsid w:val="00C1345B"/>
    <w:rsid w:val="00C20C3C"/>
    <w:rsid w:val="00C23692"/>
    <w:rsid w:val="00C23931"/>
    <w:rsid w:val="00C2409B"/>
    <w:rsid w:val="00C27BB1"/>
    <w:rsid w:val="00C31018"/>
    <w:rsid w:val="00C3241E"/>
    <w:rsid w:val="00C34C72"/>
    <w:rsid w:val="00C53E6C"/>
    <w:rsid w:val="00C64798"/>
    <w:rsid w:val="00C66560"/>
    <w:rsid w:val="00C674B4"/>
    <w:rsid w:val="00C7701D"/>
    <w:rsid w:val="00C9656C"/>
    <w:rsid w:val="00CA4AC9"/>
    <w:rsid w:val="00CA60C5"/>
    <w:rsid w:val="00CC7E7C"/>
    <w:rsid w:val="00CE1F30"/>
    <w:rsid w:val="00CF267F"/>
    <w:rsid w:val="00D00FA2"/>
    <w:rsid w:val="00D0148A"/>
    <w:rsid w:val="00D04149"/>
    <w:rsid w:val="00D11860"/>
    <w:rsid w:val="00D125E8"/>
    <w:rsid w:val="00D12F03"/>
    <w:rsid w:val="00D1582E"/>
    <w:rsid w:val="00D23290"/>
    <w:rsid w:val="00D252C5"/>
    <w:rsid w:val="00D30EEE"/>
    <w:rsid w:val="00D455AA"/>
    <w:rsid w:val="00D5727D"/>
    <w:rsid w:val="00D650FF"/>
    <w:rsid w:val="00D65EB3"/>
    <w:rsid w:val="00D67928"/>
    <w:rsid w:val="00D926B5"/>
    <w:rsid w:val="00DB0CD3"/>
    <w:rsid w:val="00DB6094"/>
    <w:rsid w:val="00DC00F9"/>
    <w:rsid w:val="00DC2527"/>
    <w:rsid w:val="00DC47F1"/>
    <w:rsid w:val="00DC6A7F"/>
    <w:rsid w:val="00DD443C"/>
    <w:rsid w:val="00DE7825"/>
    <w:rsid w:val="00DF6F69"/>
    <w:rsid w:val="00DF7F85"/>
    <w:rsid w:val="00E074E7"/>
    <w:rsid w:val="00E1128F"/>
    <w:rsid w:val="00E44E6A"/>
    <w:rsid w:val="00E67194"/>
    <w:rsid w:val="00E6793D"/>
    <w:rsid w:val="00E77B23"/>
    <w:rsid w:val="00EB76A8"/>
    <w:rsid w:val="00EB7F72"/>
    <w:rsid w:val="00EC4C41"/>
    <w:rsid w:val="00EC564A"/>
    <w:rsid w:val="00EE68C4"/>
    <w:rsid w:val="00EF442B"/>
    <w:rsid w:val="00EF4656"/>
    <w:rsid w:val="00EF5593"/>
    <w:rsid w:val="00F0027C"/>
    <w:rsid w:val="00F00DA3"/>
    <w:rsid w:val="00F028FE"/>
    <w:rsid w:val="00F068B0"/>
    <w:rsid w:val="00F13E52"/>
    <w:rsid w:val="00F331AD"/>
    <w:rsid w:val="00F33469"/>
    <w:rsid w:val="00F42496"/>
    <w:rsid w:val="00F426F9"/>
    <w:rsid w:val="00F4288F"/>
    <w:rsid w:val="00F47448"/>
    <w:rsid w:val="00F53372"/>
    <w:rsid w:val="00F559C8"/>
    <w:rsid w:val="00F57C26"/>
    <w:rsid w:val="00F7082C"/>
    <w:rsid w:val="00F8215B"/>
    <w:rsid w:val="00F965B3"/>
    <w:rsid w:val="00F96C93"/>
    <w:rsid w:val="00FA1570"/>
    <w:rsid w:val="00FB47A6"/>
    <w:rsid w:val="00FC398E"/>
    <w:rsid w:val="00FD1518"/>
    <w:rsid w:val="00FE2E31"/>
    <w:rsid w:val="00FE7EC2"/>
    <w:rsid w:val="00FF3C23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C67"/>
    <w:pPr>
      <w:keepNext/>
      <w:ind w:left="3540" w:firstLine="708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96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2C67"/>
    <w:rPr>
      <w:rFonts w:ascii="Arial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rsid w:val="00212C6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rsid w:val="00212C67"/>
    <w:pPr>
      <w:ind w:firstLine="708"/>
      <w:jc w:val="both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12C67"/>
    <w:rPr>
      <w:rFonts w:ascii="Arial" w:hAnsi="Arial" w:cs="Arial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semiHidden/>
    <w:rsid w:val="00212C6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212C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212C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12C67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794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F2A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FF3C23"/>
    <w:pPr>
      <w:ind w:left="720"/>
      <w:contextualSpacing/>
    </w:pPr>
  </w:style>
  <w:style w:type="paragraph" w:customStyle="1" w:styleId="Default">
    <w:name w:val="Default"/>
    <w:rsid w:val="00604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09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97"/>
    <w:rPr>
      <w:lang w:eastAsia="en-US"/>
    </w:rPr>
  </w:style>
  <w:style w:type="character" w:styleId="FootnoteReference">
    <w:name w:val="footnote reference"/>
    <w:uiPriority w:val="99"/>
    <w:semiHidden/>
    <w:unhideWhenUsed/>
    <w:rsid w:val="008140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D151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F96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locked/>
    <w:rsid w:val="00C038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-na16">
    <w:name w:val="tb-na16"/>
    <w:basedOn w:val="Normal"/>
    <w:rsid w:val="008351AE"/>
    <w:pPr>
      <w:spacing w:before="100" w:beforeAutospacing="1" w:after="100" w:afterAutospacing="1"/>
    </w:pPr>
    <w:rPr>
      <w:lang w:val="en-GB" w:eastAsia="en-GB"/>
    </w:rPr>
  </w:style>
  <w:style w:type="paragraph" w:customStyle="1" w:styleId="t-12-9-fett-s">
    <w:name w:val="t-12-9-fett-s"/>
    <w:basedOn w:val="Normal"/>
    <w:rsid w:val="008351A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0B77-7DEF-4B06-8857-09C9C801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Kemeter</dc:creator>
  <cp:lastModifiedBy>ederencinovic</cp:lastModifiedBy>
  <cp:revision>5</cp:revision>
  <cp:lastPrinted>2019-01-09T11:44:00Z</cp:lastPrinted>
  <dcterms:created xsi:type="dcterms:W3CDTF">2019-01-10T07:55:00Z</dcterms:created>
  <dcterms:modified xsi:type="dcterms:W3CDTF">2019-01-11T08:03:00Z</dcterms:modified>
</cp:coreProperties>
</file>